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697F1" w14:textId="77777777" w:rsidR="00EA181D" w:rsidRPr="00EA181D" w:rsidRDefault="00EA181D" w:rsidP="00EA181D">
      <w:pPr>
        <w:pStyle w:val="Textoindependiente"/>
        <w:spacing w:line="235" w:lineRule="auto"/>
        <w:ind w:right="103"/>
        <w:jc w:val="center"/>
        <w:rPr>
          <w:b/>
          <w:bCs/>
          <w:sz w:val="18"/>
        </w:rPr>
      </w:pPr>
      <w:r w:rsidRPr="00EA181D">
        <w:rPr>
          <w:b/>
          <w:bCs/>
          <w:sz w:val="18"/>
        </w:rPr>
        <w:t>INSTRUMENTO DE ADHERENCIA A LA GUÍA DE PRÁCTICA CLÍNICA (GPC) COMPLICACIONES DEL EMBARAZO, PARTO O PUERPERIO EN EL EVENTO DE SEPSIS DE ORIGEN OBSTÉTRICO</w:t>
      </w:r>
    </w:p>
    <w:p w14:paraId="46C1EC3F" w14:textId="07E84DC7" w:rsidR="004F7192" w:rsidRDefault="004F7192" w:rsidP="00EA181D">
      <w:pPr>
        <w:pStyle w:val="Textoindependiente"/>
        <w:spacing w:line="235" w:lineRule="auto"/>
        <w:ind w:left="0" w:right="103"/>
        <w:rPr>
          <w:b/>
          <w:bCs/>
          <w:sz w:val="18"/>
        </w:rPr>
      </w:pPr>
    </w:p>
    <w:p w14:paraId="0F202263" w14:textId="74671D03" w:rsidR="004535C4" w:rsidRDefault="004535C4" w:rsidP="004535C4">
      <w:pPr>
        <w:pStyle w:val="Textoindependiente"/>
        <w:spacing w:line="235" w:lineRule="auto"/>
        <w:ind w:left="0" w:right="103"/>
        <w:jc w:val="both"/>
        <w:rPr>
          <w:rFonts w:ascii="Arial" w:hAnsi="Arial" w:cs="Arial"/>
          <w:b/>
          <w:bCs/>
        </w:rPr>
      </w:pPr>
      <w:r w:rsidRPr="004535C4">
        <w:rPr>
          <w:rFonts w:ascii="Arial" w:hAnsi="Arial" w:cs="Arial"/>
          <w:b/>
          <w:bCs/>
        </w:rPr>
        <w:t>OBJETIVO</w:t>
      </w:r>
    </w:p>
    <w:p w14:paraId="4F7E6CD2" w14:textId="77777777" w:rsidR="004535C4" w:rsidRPr="004535C4" w:rsidRDefault="004535C4" w:rsidP="004535C4">
      <w:pPr>
        <w:pStyle w:val="Textoindependiente"/>
        <w:spacing w:line="235" w:lineRule="auto"/>
        <w:ind w:left="0" w:right="103"/>
        <w:jc w:val="both"/>
        <w:rPr>
          <w:rFonts w:ascii="Arial" w:hAnsi="Arial" w:cs="Arial"/>
          <w:b/>
          <w:bCs/>
        </w:rPr>
      </w:pPr>
    </w:p>
    <w:p w14:paraId="5ED3E490" w14:textId="77777777" w:rsidR="004535C4" w:rsidRPr="004535C4" w:rsidRDefault="004535C4" w:rsidP="004535C4">
      <w:pPr>
        <w:pStyle w:val="Textoindependiente"/>
        <w:spacing w:line="235" w:lineRule="auto"/>
        <w:ind w:left="0" w:right="103"/>
        <w:jc w:val="both"/>
        <w:rPr>
          <w:rFonts w:ascii="Arial" w:hAnsi="Arial" w:cs="Arial"/>
        </w:rPr>
      </w:pPr>
      <w:r w:rsidRPr="004535C4">
        <w:rPr>
          <w:rFonts w:ascii="Arial" w:hAnsi="Arial" w:cs="Arial"/>
        </w:rPr>
        <w:t>Establecer los lineamientos técnicos para la aplicación del instrumento de adherencia a la Guía de Práctica Clínica (GPC) en el manejo clínico de la sepsis de origen obstétrico, con el fin de verificar el cumplimiento de las acciones de identificación temprana, diagnóstico oportuno, manejo inicial, intervenciones terapéuticas, seguimiento y egreso, contribuyendo a la reducción de la morbilidad y mortalidad materna.</w:t>
      </w:r>
    </w:p>
    <w:p w14:paraId="01F455C9" w14:textId="32D0E537" w:rsidR="004535C4" w:rsidRPr="004535C4" w:rsidRDefault="004535C4" w:rsidP="004535C4">
      <w:pPr>
        <w:pStyle w:val="Textoindependiente"/>
        <w:spacing w:line="235" w:lineRule="auto"/>
        <w:ind w:right="103"/>
        <w:jc w:val="both"/>
        <w:rPr>
          <w:rFonts w:ascii="Arial" w:hAnsi="Arial" w:cs="Arial"/>
          <w:b/>
          <w:bCs/>
        </w:rPr>
      </w:pPr>
    </w:p>
    <w:p w14:paraId="158BC1F6" w14:textId="05A3AC82" w:rsidR="004535C4" w:rsidRDefault="004535C4" w:rsidP="004535C4">
      <w:pPr>
        <w:pStyle w:val="Textoindependiente"/>
        <w:spacing w:line="235" w:lineRule="auto"/>
        <w:ind w:left="0" w:right="103"/>
        <w:jc w:val="both"/>
        <w:rPr>
          <w:rFonts w:ascii="Arial" w:hAnsi="Arial" w:cs="Arial"/>
          <w:b/>
          <w:bCs/>
        </w:rPr>
      </w:pPr>
      <w:r w:rsidRPr="004535C4">
        <w:rPr>
          <w:rFonts w:ascii="Arial" w:hAnsi="Arial" w:cs="Arial"/>
          <w:b/>
          <w:bCs/>
        </w:rPr>
        <w:t>ALCANCE</w:t>
      </w:r>
    </w:p>
    <w:p w14:paraId="49DF4C3F" w14:textId="77777777" w:rsidR="004535C4" w:rsidRPr="004535C4" w:rsidRDefault="004535C4" w:rsidP="004535C4">
      <w:pPr>
        <w:pStyle w:val="Textoindependiente"/>
        <w:spacing w:line="235" w:lineRule="auto"/>
        <w:ind w:left="0" w:right="103"/>
        <w:jc w:val="both"/>
        <w:rPr>
          <w:rFonts w:ascii="Arial" w:hAnsi="Arial" w:cs="Arial"/>
          <w:b/>
          <w:bCs/>
        </w:rPr>
      </w:pPr>
    </w:p>
    <w:p w14:paraId="2D9CA7DA" w14:textId="77777777" w:rsidR="004535C4" w:rsidRPr="004535C4" w:rsidRDefault="004535C4" w:rsidP="004535C4">
      <w:pPr>
        <w:pStyle w:val="Textoindependiente"/>
        <w:spacing w:line="235" w:lineRule="auto"/>
        <w:ind w:left="0" w:right="103"/>
        <w:jc w:val="both"/>
        <w:rPr>
          <w:rFonts w:ascii="Arial" w:hAnsi="Arial" w:cs="Arial"/>
        </w:rPr>
      </w:pPr>
      <w:r w:rsidRPr="004535C4">
        <w:rPr>
          <w:rFonts w:ascii="Arial" w:hAnsi="Arial" w:cs="Arial"/>
        </w:rPr>
        <w:t>Este instructivo aplica para la verificación del cumplimiento de las acciones establecidas en la Guía de Práctica Clínica para el manejo de sepsis obstétrica, desde la identificación inicial de signos de infección hasta el egreso hospitalario y seguimiento posterior.</w:t>
      </w:r>
    </w:p>
    <w:p w14:paraId="6DE02A7D" w14:textId="77777777" w:rsidR="004535C4" w:rsidRPr="004535C4" w:rsidRDefault="004535C4" w:rsidP="004535C4">
      <w:pPr>
        <w:pStyle w:val="Textoindependiente"/>
        <w:spacing w:line="235" w:lineRule="auto"/>
        <w:ind w:left="0" w:right="103"/>
        <w:jc w:val="both"/>
        <w:rPr>
          <w:rFonts w:ascii="Arial" w:hAnsi="Arial" w:cs="Arial"/>
        </w:rPr>
      </w:pPr>
      <w:r w:rsidRPr="004535C4">
        <w:rPr>
          <w:rFonts w:ascii="Arial" w:hAnsi="Arial" w:cs="Arial"/>
        </w:rPr>
        <w:t>Incluye la revisión de registros clínicos correspondientes a la atención de gestantes, parturientas o puérperas con sospecha o diagnóstico confirmado de sepsis de origen obstétrico.</w:t>
      </w:r>
    </w:p>
    <w:p w14:paraId="03AA0900" w14:textId="4D0A3A0C" w:rsidR="00865B8E" w:rsidRPr="005A7B97" w:rsidRDefault="00865B8E" w:rsidP="005A7B97">
      <w:pPr>
        <w:pStyle w:val="Textoindependiente"/>
        <w:spacing w:line="235" w:lineRule="auto"/>
        <w:ind w:left="0" w:right="103"/>
        <w:jc w:val="both"/>
        <w:rPr>
          <w:rFonts w:ascii="Arial" w:hAnsi="Arial" w:cs="Arial"/>
        </w:rPr>
      </w:pPr>
      <w:r w:rsidRPr="005A7B97">
        <w:rPr>
          <w:rFonts w:ascii="Arial" w:hAnsi="Arial" w:cs="Arial"/>
        </w:rPr>
        <w:t>.</w:t>
      </w:r>
    </w:p>
    <w:p w14:paraId="1336E387" w14:textId="77777777" w:rsidR="005A7B97" w:rsidRDefault="005A7B97" w:rsidP="005A7B97">
      <w:pPr>
        <w:pStyle w:val="Textoindependiente"/>
        <w:spacing w:line="235" w:lineRule="auto"/>
        <w:ind w:left="-820" w:right="103"/>
        <w:jc w:val="both"/>
        <w:rPr>
          <w:rFonts w:ascii="Arial" w:hAnsi="Arial" w:cs="Arial"/>
          <w:b/>
          <w:bCs/>
        </w:rPr>
      </w:pPr>
    </w:p>
    <w:p w14:paraId="37853B60" w14:textId="18691AD4" w:rsidR="00865B8E" w:rsidRPr="00865B8E" w:rsidRDefault="00865B8E" w:rsidP="005A7B97">
      <w:pPr>
        <w:pStyle w:val="Textoindependiente"/>
        <w:spacing w:line="235" w:lineRule="auto"/>
        <w:ind w:left="0" w:right="103"/>
        <w:jc w:val="both"/>
        <w:rPr>
          <w:rFonts w:ascii="Arial" w:hAnsi="Arial" w:cs="Arial"/>
          <w:b/>
          <w:bCs/>
        </w:rPr>
      </w:pPr>
      <w:r w:rsidRPr="00865B8E">
        <w:rPr>
          <w:rFonts w:ascii="Arial" w:hAnsi="Arial" w:cs="Arial"/>
          <w:b/>
          <w:bCs/>
        </w:rPr>
        <w:t>Profesionales responsables de la aplicación del instrumento:</w:t>
      </w:r>
    </w:p>
    <w:p w14:paraId="60F987FE" w14:textId="2515C773" w:rsidR="00851161" w:rsidRP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Médicos especialistas en ginecología y obstetricia.</w:t>
      </w:r>
    </w:p>
    <w:p w14:paraId="5FE2F2B7" w14:textId="347078EE" w:rsidR="00851161" w:rsidRP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Médicos generales con funciones en atención materna.</w:t>
      </w:r>
    </w:p>
    <w:p w14:paraId="20862F59" w14:textId="6BEDB359" w:rsidR="00851161" w:rsidRP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Enfermeros profesionales del programa materno perinatal.</w:t>
      </w:r>
    </w:p>
    <w:p w14:paraId="56D32D24" w14:textId="13A3864A" w:rsidR="00851161" w:rsidRP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Auditores médicos o de enfermería.</w:t>
      </w:r>
    </w:p>
    <w:p w14:paraId="7E77A6AD" w14:textId="22C920A5" w:rsidR="00851161" w:rsidRP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Profesionales del área de calidad en salud.</w:t>
      </w:r>
    </w:p>
    <w:p w14:paraId="2A387243" w14:textId="77777777" w:rsidR="00851161" w:rsidRDefault="00851161" w:rsidP="00851161">
      <w:pPr>
        <w:pStyle w:val="Textoindependiente"/>
        <w:numPr>
          <w:ilvl w:val="0"/>
          <w:numId w:val="13"/>
        </w:numPr>
        <w:spacing w:line="235" w:lineRule="auto"/>
        <w:ind w:right="103"/>
        <w:jc w:val="both"/>
        <w:rPr>
          <w:rFonts w:ascii="Arial" w:hAnsi="Arial" w:cs="Arial"/>
          <w:lang w:val="es-CO"/>
        </w:rPr>
      </w:pPr>
      <w:r w:rsidRPr="00851161">
        <w:rPr>
          <w:rFonts w:ascii="Arial" w:hAnsi="Arial" w:cs="Arial"/>
          <w:lang w:val="es-CO"/>
        </w:rPr>
        <w:t>Epidemiólogos o profesionales encargados de vigilancia epidemiológica institucional, cuando aplique.</w:t>
      </w:r>
    </w:p>
    <w:p w14:paraId="2CC0ED6E" w14:textId="795E1AD6" w:rsidR="00865B8E" w:rsidRPr="00865B8E" w:rsidRDefault="00865B8E" w:rsidP="00851161">
      <w:pPr>
        <w:pStyle w:val="Textoindependiente"/>
        <w:spacing w:line="235" w:lineRule="auto"/>
        <w:ind w:left="0" w:right="103"/>
        <w:jc w:val="both"/>
        <w:rPr>
          <w:rFonts w:ascii="Arial" w:hAnsi="Arial" w:cs="Arial"/>
          <w:b/>
          <w:bCs/>
        </w:rPr>
      </w:pPr>
      <w:r w:rsidRPr="00865B8E">
        <w:rPr>
          <w:rFonts w:ascii="Arial" w:hAnsi="Arial" w:cs="Arial"/>
          <w:b/>
          <w:bCs/>
        </w:rPr>
        <w:t>Este instructivo aplica en los siguientes servicios:</w:t>
      </w:r>
    </w:p>
    <w:p w14:paraId="7F9BD553" w14:textId="50AEE907"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Consulta externa de control prenatal.</w:t>
      </w:r>
    </w:p>
    <w:p w14:paraId="1853D57A" w14:textId="612E80D1"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Servicio de urgencias obstétricas.</w:t>
      </w:r>
    </w:p>
    <w:p w14:paraId="63317AC4" w14:textId="5010B282"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Hospitalización obstétrica.</w:t>
      </w:r>
    </w:p>
    <w:p w14:paraId="7C3F9C0C" w14:textId="2B9D043D"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Sala de partos.</w:t>
      </w:r>
    </w:p>
    <w:p w14:paraId="2F527950" w14:textId="41B857ED"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Servicio de alto riesgo obstétrico.</w:t>
      </w:r>
    </w:p>
    <w:p w14:paraId="0A04BCC5" w14:textId="5811E8AD"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Programas de atención materno perinatal.</w:t>
      </w:r>
    </w:p>
    <w:p w14:paraId="72CA88B6" w14:textId="42181CEC" w:rsidR="002229B8" w:rsidRPr="002229B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Consulta posparto o posaborto.</w:t>
      </w:r>
    </w:p>
    <w:p w14:paraId="0BD3C828" w14:textId="321A6F0A" w:rsidR="001011D8" w:rsidRDefault="002229B8" w:rsidP="002229B8">
      <w:pPr>
        <w:pStyle w:val="Textoindependiente"/>
        <w:numPr>
          <w:ilvl w:val="0"/>
          <w:numId w:val="13"/>
        </w:numPr>
        <w:spacing w:line="235" w:lineRule="auto"/>
        <w:ind w:right="103"/>
        <w:jc w:val="both"/>
        <w:rPr>
          <w:rFonts w:ascii="Arial" w:hAnsi="Arial" w:cs="Arial"/>
          <w:lang w:val="es-CO"/>
        </w:rPr>
      </w:pPr>
      <w:r w:rsidRPr="002229B8">
        <w:rPr>
          <w:rFonts w:ascii="Arial" w:hAnsi="Arial" w:cs="Arial"/>
          <w:lang w:val="es-CO"/>
        </w:rPr>
        <w:t>Servicios donde se realice diagnóstico y tratamiento de infecciones de transmisión sexual (ITS), cuando aplique.</w:t>
      </w:r>
    </w:p>
    <w:p w14:paraId="39D28B90" w14:textId="77777777" w:rsidR="002229B8" w:rsidRDefault="002229B8" w:rsidP="002229B8">
      <w:pPr>
        <w:pStyle w:val="Textoindependiente"/>
        <w:spacing w:line="235" w:lineRule="auto"/>
        <w:ind w:left="720" w:right="103"/>
        <w:jc w:val="both"/>
        <w:rPr>
          <w:rFonts w:ascii="Arial" w:hAnsi="Arial" w:cs="Arial"/>
          <w:lang w:val="es-CO"/>
        </w:rPr>
      </w:pPr>
    </w:p>
    <w:p w14:paraId="333A4FD6" w14:textId="77777777" w:rsidR="00484442" w:rsidRPr="00484442" w:rsidRDefault="00484442" w:rsidP="00E64C71">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1. IDENTIFICACIÓN DE EMERGENCIA POR SEPSIS</w:t>
      </w:r>
    </w:p>
    <w:p w14:paraId="5F158614" w14:textId="5845E158" w:rsidR="00484442" w:rsidRPr="00484442" w:rsidRDefault="00484442" w:rsidP="00E64C71">
      <w:pPr>
        <w:pStyle w:val="Textoindependiente"/>
        <w:tabs>
          <w:tab w:val="left" w:pos="5580"/>
        </w:tabs>
        <w:spacing w:line="235" w:lineRule="auto"/>
        <w:ind w:left="360" w:right="103"/>
        <w:rPr>
          <w:rFonts w:ascii="Arial" w:hAnsi="Arial" w:cs="Arial"/>
          <w:b/>
          <w:bCs/>
          <w:lang w:val="es-CO"/>
        </w:rPr>
      </w:pPr>
    </w:p>
    <w:p w14:paraId="57C59617"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Interpreta y registra síntomas o signos de foco infeccioso a partir de la anamnesis</w:t>
      </w:r>
    </w:p>
    <w:p w14:paraId="521BCE9D" w14:textId="77777777" w:rsidR="00484442" w:rsidRPr="00B73923" w:rsidRDefault="00484442" w:rsidP="00E64C7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 xml:space="preserve">Cuando la institución evidencia en la historia clínica registro de síntomas o signos sugestivos de foco infeccioso identificados mediante la anamnesis, tales como fiebre, dolor abdominal, </w:t>
      </w:r>
      <w:r w:rsidRPr="00B73923">
        <w:rPr>
          <w:rFonts w:ascii="Arial" w:hAnsi="Arial" w:cs="Arial"/>
          <w:lang w:val="es-CO"/>
        </w:rPr>
        <w:lastRenderedPageBreak/>
        <w:t>secreción vaginal anormal, disuria, mal olor en loquios, entre otros.</w:t>
      </w:r>
    </w:p>
    <w:p w14:paraId="0FD24A35" w14:textId="77777777" w:rsidR="00484442" w:rsidRPr="00B73923" w:rsidRDefault="00484442" w:rsidP="00E64C7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 de síntomas o signos sugestivos de foco infeccioso en la anamnesis.</w:t>
      </w:r>
    </w:p>
    <w:p w14:paraId="11759FAF" w14:textId="77777777" w:rsidR="00484442" w:rsidRPr="00B73923" w:rsidRDefault="00484442" w:rsidP="00E64C7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687BBA8A" w14:textId="4AC6FB86" w:rsidR="00484442" w:rsidRPr="00484442" w:rsidRDefault="00484442" w:rsidP="00E64C71">
      <w:pPr>
        <w:pStyle w:val="Textoindependiente"/>
        <w:tabs>
          <w:tab w:val="left" w:pos="5580"/>
        </w:tabs>
        <w:spacing w:line="235" w:lineRule="auto"/>
        <w:ind w:left="360" w:right="103"/>
        <w:rPr>
          <w:rFonts w:ascii="Arial" w:hAnsi="Arial" w:cs="Arial"/>
          <w:b/>
          <w:bCs/>
          <w:lang w:val="es-CO"/>
        </w:rPr>
      </w:pPr>
    </w:p>
    <w:p w14:paraId="6DB02249" w14:textId="4060C703" w:rsidR="00484442" w:rsidRPr="00484442" w:rsidRDefault="00484442" w:rsidP="00E64C71">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xml:space="preserve">• Interpreta y registra signos de sepsis aplicando escala </w:t>
      </w:r>
      <w:proofErr w:type="spellStart"/>
      <w:r w:rsidRPr="00484442">
        <w:rPr>
          <w:rFonts w:ascii="Arial" w:hAnsi="Arial" w:cs="Arial"/>
          <w:b/>
          <w:bCs/>
          <w:lang w:val="es-CO"/>
        </w:rPr>
        <w:t>qSOFA</w:t>
      </w:r>
      <w:proofErr w:type="spellEnd"/>
      <w:r w:rsidRPr="00484442">
        <w:rPr>
          <w:rFonts w:ascii="Arial" w:hAnsi="Arial" w:cs="Arial"/>
          <w:b/>
          <w:bCs/>
          <w:lang w:val="es-CO"/>
        </w:rPr>
        <w:t xml:space="preserve"> y/o escala de alerta temprana</w:t>
      </w:r>
    </w:p>
    <w:p w14:paraId="192048C7"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 xml:space="preserve">Cuando la institución evidencia aplicación y registro de escala </w:t>
      </w:r>
      <w:proofErr w:type="spellStart"/>
      <w:r w:rsidRPr="00B73923">
        <w:rPr>
          <w:rFonts w:ascii="Arial" w:hAnsi="Arial" w:cs="Arial"/>
          <w:lang w:val="es-CO"/>
        </w:rPr>
        <w:t>qSOFA</w:t>
      </w:r>
      <w:proofErr w:type="spellEnd"/>
      <w:r w:rsidRPr="00B73923">
        <w:rPr>
          <w:rFonts w:ascii="Arial" w:hAnsi="Arial" w:cs="Arial"/>
          <w:lang w:val="es-CO"/>
        </w:rPr>
        <w:t xml:space="preserve"> y/o escala de alerta temprana obstétrica para identificación de signos de sepsis.</w:t>
      </w:r>
    </w:p>
    <w:p w14:paraId="0694B052"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aplicación o registro de dichas escalas.</w:t>
      </w:r>
    </w:p>
    <w:p w14:paraId="113CEBD8"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69307DD4" w14:textId="5BBF8E09"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04582F59"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Interpreta y registra signos de vitalidad fetal a partir del examen físico</w:t>
      </w:r>
    </w:p>
    <w:p w14:paraId="461D0A13"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 xml:space="preserve">Cuando la institución evidencia valoración y registro de signos de vitalidad fetal mediante auscultación de frecuencia cardiaca fetal o </w:t>
      </w:r>
      <w:proofErr w:type="spellStart"/>
      <w:r w:rsidRPr="00B73923">
        <w:rPr>
          <w:rFonts w:ascii="Arial" w:hAnsi="Arial" w:cs="Arial"/>
          <w:lang w:val="es-CO"/>
        </w:rPr>
        <w:t>monitoría</w:t>
      </w:r>
      <w:proofErr w:type="spellEnd"/>
      <w:r w:rsidRPr="00B73923">
        <w:rPr>
          <w:rFonts w:ascii="Arial" w:hAnsi="Arial" w:cs="Arial"/>
          <w:lang w:val="es-CO"/>
        </w:rPr>
        <w:t xml:space="preserve"> fetal según edad gestacional.</w:t>
      </w:r>
    </w:p>
    <w:p w14:paraId="63186333"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 de vitalidad fetal.</w:t>
      </w:r>
    </w:p>
    <w:p w14:paraId="39A295BC"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la paciente no se encuentra en estado gestante (puerperio).</w:t>
      </w:r>
    </w:p>
    <w:p w14:paraId="2D5730F4" w14:textId="5EB8E834"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04FDCA73" w14:textId="77777777" w:rsidR="00484442" w:rsidRPr="00484442" w:rsidRDefault="00484442" w:rsidP="00923E97">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2. MONITOREO Y SEGUIMIENTO A LOS SIGNOS VITALES</w:t>
      </w:r>
    </w:p>
    <w:p w14:paraId="174C4E09" w14:textId="2EBDC279"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655A61D8"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Registro en la historia clínica de activación de emergencia obstétrica</w:t>
      </w:r>
    </w:p>
    <w:p w14:paraId="57688C9C"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registro de activación del código de emergencia obstétrica ante sospecha o confirmación de sepsis.</w:t>
      </w:r>
    </w:p>
    <w:p w14:paraId="60E7212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activación documentada.</w:t>
      </w:r>
    </w:p>
    <w:p w14:paraId="1DEF9EE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0CAFAD35" w14:textId="76B0F32C" w:rsidR="00484442" w:rsidRPr="00B73923" w:rsidRDefault="00484442" w:rsidP="00923E97">
      <w:pPr>
        <w:pStyle w:val="Textoindependiente"/>
        <w:tabs>
          <w:tab w:val="left" w:pos="5580"/>
        </w:tabs>
        <w:spacing w:line="235" w:lineRule="auto"/>
        <w:ind w:left="360" w:right="103"/>
        <w:rPr>
          <w:rFonts w:ascii="Arial" w:hAnsi="Arial" w:cs="Arial"/>
          <w:lang w:val="es-CO"/>
        </w:rPr>
      </w:pPr>
    </w:p>
    <w:p w14:paraId="4A9480F4" w14:textId="77777777" w:rsidR="00484442" w:rsidRPr="00484442" w:rsidRDefault="00484442" w:rsidP="00923E97">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Monitoriza signos vitales maternos y fetales</w:t>
      </w:r>
    </w:p>
    <w:p w14:paraId="3E23DB0B"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monitorización periódica de signos vitales maternos y fetales según protocolo institucional.</w:t>
      </w:r>
    </w:p>
    <w:p w14:paraId="00971D00"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monitorización periódica.</w:t>
      </w:r>
    </w:p>
    <w:p w14:paraId="404040F9"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aplica vigilancia fetal.</w:t>
      </w:r>
    </w:p>
    <w:p w14:paraId="7C095E3B" w14:textId="7D6DC87B"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0E70F792" w14:textId="77777777" w:rsidR="00484442" w:rsidRPr="00484442" w:rsidRDefault="00484442" w:rsidP="006D7E5D">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lastRenderedPageBreak/>
        <w:t>• Monitoriza gasto urinario materno horario</w:t>
      </w:r>
    </w:p>
    <w:p w14:paraId="1ED65284"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CUMPLE:</w:t>
      </w:r>
      <w:r w:rsidRPr="006D7E5D">
        <w:rPr>
          <w:rFonts w:ascii="Arial" w:hAnsi="Arial" w:cs="Arial"/>
          <w:lang w:val="es-CO"/>
        </w:rPr>
        <w:br/>
        <w:t>Cuando la institución evidencia registro horario del gasto urinario materno como parte del monitoreo hemodinámico.</w:t>
      </w:r>
    </w:p>
    <w:p w14:paraId="1F284774"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NO CUMPLE:</w:t>
      </w:r>
      <w:r w:rsidRPr="006D7E5D">
        <w:rPr>
          <w:rFonts w:ascii="Arial" w:hAnsi="Arial" w:cs="Arial"/>
          <w:lang w:val="es-CO"/>
        </w:rPr>
        <w:br/>
        <w:t>Cuando la institución NO evidencia registro del gasto urinario.</w:t>
      </w:r>
    </w:p>
    <w:p w14:paraId="6749FB24"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NO APLICA:</w:t>
      </w:r>
      <w:r w:rsidRPr="006D7E5D">
        <w:rPr>
          <w:rFonts w:ascii="Arial" w:hAnsi="Arial" w:cs="Arial"/>
          <w:lang w:val="es-CO"/>
        </w:rPr>
        <w:br/>
        <w:t>Cuando clínicamente no se requiere.</w:t>
      </w:r>
    </w:p>
    <w:p w14:paraId="1C34714B" w14:textId="77B10D4B"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22EAFC3A" w14:textId="77777777" w:rsidR="00484442" w:rsidRPr="00484442" w:rsidRDefault="00484442" w:rsidP="006D7E5D">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Canaliza dos accesos venosos periféricos</w:t>
      </w:r>
    </w:p>
    <w:p w14:paraId="2BDAF678"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CUMPLE:</w:t>
      </w:r>
      <w:r w:rsidRPr="006D7E5D">
        <w:rPr>
          <w:rFonts w:ascii="Arial" w:hAnsi="Arial" w:cs="Arial"/>
          <w:lang w:val="es-CO"/>
        </w:rPr>
        <w:br/>
        <w:t>Cuando la institución evidencia registro de canalización de dos accesos venosos periféricos funcionales.</w:t>
      </w:r>
    </w:p>
    <w:p w14:paraId="0A2E1251"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NO CUMPLE:</w:t>
      </w:r>
      <w:r w:rsidRPr="006D7E5D">
        <w:rPr>
          <w:rFonts w:ascii="Arial" w:hAnsi="Arial" w:cs="Arial"/>
          <w:lang w:val="es-CO"/>
        </w:rPr>
        <w:br/>
        <w:t>Cuando la institución NO evidencia canalización.</w:t>
      </w:r>
    </w:p>
    <w:p w14:paraId="24817429" w14:textId="77777777" w:rsidR="00484442" w:rsidRPr="006D7E5D" w:rsidRDefault="00484442" w:rsidP="00923E97">
      <w:pPr>
        <w:pStyle w:val="Textoindependiente"/>
        <w:tabs>
          <w:tab w:val="left" w:pos="5580"/>
        </w:tabs>
        <w:spacing w:line="235" w:lineRule="auto"/>
        <w:ind w:left="360" w:right="103"/>
        <w:rPr>
          <w:rFonts w:ascii="Arial" w:hAnsi="Arial" w:cs="Arial"/>
          <w:lang w:val="es-CO"/>
        </w:rPr>
      </w:pPr>
      <w:r w:rsidRPr="006D7E5D">
        <w:rPr>
          <w:rFonts w:ascii="Arial" w:hAnsi="Arial" w:cs="Arial"/>
          <w:lang w:val="es-CO"/>
        </w:rPr>
        <w:t>NO APLICA:</w:t>
      </w:r>
      <w:r w:rsidRPr="006D7E5D">
        <w:rPr>
          <w:rFonts w:ascii="Arial" w:hAnsi="Arial" w:cs="Arial"/>
          <w:lang w:val="es-CO"/>
        </w:rPr>
        <w:br/>
        <w:t>Cuando clínicamente no se requiere.</w:t>
      </w:r>
    </w:p>
    <w:p w14:paraId="15520E5B" w14:textId="5E57E4C4"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07FD7B26" w14:textId="77777777" w:rsidR="00484442" w:rsidRPr="00484442" w:rsidRDefault="00484442" w:rsidP="00923E97">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3. DIAGNÓSTICO, CLASIFICACIÓN Y MANEJO INICIAL</w:t>
      </w:r>
    </w:p>
    <w:p w14:paraId="226A1C3A" w14:textId="200D0677"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5BC9921E"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Cuadro hemático</w:t>
      </w:r>
    </w:p>
    <w:p w14:paraId="5EF779D0"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registro de resultado de cuadro hemático.</w:t>
      </w:r>
    </w:p>
    <w:p w14:paraId="57091680"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solicitud o resultado.</w:t>
      </w:r>
    </w:p>
    <w:p w14:paraId="12B10298"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2BBD4FBF" w14:textId="6CF00A0B"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18A913A7"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Creatinina</w:t>
      </w:r>
    </w:p>
    <w:p w14:paraId="2963A92A"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resultado de creatinina sérica.</w:t>
      </w:r>
    </w:p>
    <w:p w14:paraId="6F5D6C4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resultado.</w:t>
      </w:r>
    </w:p>
    <w:p w14:paraId="6E0FA639"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6968CF04" w14:textId="017CD8BE"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74DAC576"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Transaminasas (AST y ALT)</w:t>
      </w:r>
    </w:p>
    <w:p w14:paraId="07D6271F"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resultado de transaminasas.</w:t>
      </w:r>
    </w:p>
    <w:p w14:paraId="3DA78F6D"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resultado.</w:t>
      </w:r>
    </w:p>
    <w:p w14:paraId="60362728"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18890C37" w14:textId="2D93A1F4"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5CA655EC"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Bilirrubinas</w:t>
      </w:r>
    </w:p>
    <w:p w14:paraId="743B248F"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r>
      <w:r w:rsidRPr="00B73923">
        <w:rPr>
          <w:rFonts w:ascii="Arial" w:hAnsi="Arial" w:cs="Arial"/>
          <w:lang w:val="es-CO"/>
        </w:rPr>
        <w:lastRenderedPageBreak/>
        <w:t>Cuando la institución evidencia solicitud y resultado de bilirrubinas.</w:t>
      </w:r>
    </w:p>
    <w:p w14:paraId="1BF67C62"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resultado.</w:t>
      </w:r>
    </w:p>
    <w:p w14:paraId="5A0E8DF2"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7B686EA7" w14:textId="13B8D893"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7069F287"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Gases arteriales</w:t>
      </w:r>
    </w:p>
    <w:p w14:paraId="2B8A1A9B"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resultado de gases arteriales.</w:t>
      </w:r>
    </w:p>
    <w:p w14:paraId="6C2B85FF"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resultado.</w:t>
      </w:r>
    </w:p>
    <w:p w14:paraId="5CC071BC"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clínicamente no se requiere.</w:t>
      </w:r>
    </w:p>
    <w:p w14:paraId="5DD81AED" w14:textId="35593098"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468DE9F0"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Lactato</w:t>
      </w:r>
    </w:p>
    <w:p w14:paraId="4D546EFC"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registro del valor de lactato sérico.</w:t>
      </w:r>
    </w:p>
    <w:p w14:paraId="3B32885F"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w:t>
      </w:r>
    </w:p>
    <w:p w14:paraId="1CA681A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3AC88EAD" w14:textId="39AA075B"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3B1666BA"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clasifica la sepsis (presencia o ausencia de choque)</w:t>
      </w:r>
    </w:p>
    <w:p w14:paraId="656FCC47"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clasificación clínica de la sepsis incluyendo identificación de choque séptico.</w:t>
      </w:r>
    </w:p>
    <w:p w14:paraId="0CFCB06A"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clasificación.</w:t>
      </w:r>
    </w:p>
    <w:p w14:paraId="55088635"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431185D5" w14:textId="4AE8FEDE"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12480969"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indica toma de cultivos previo a inicio de antibiótico</w:t>
      </w:r>
    </w:p>
    <w:p w14:paraId="709DAA21"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solicitud y toma de cultivos antes de iniciar antibióticos.</w:t>
      </w:r>
    </w:p>
    <w:p w14:paraId="6B949B89"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toma de cultivos.</w:t>
      </w:r>
    </w:p>
    <w:p w14:paraId="3F1FD82C"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es posible obtener muestras por condición clínica urgente.</w:t>
      </w:r>
    </w:p>
    <w:p w14:paraId="43B4DE22" w14:textId="678673D8"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0CBAA981"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ordena iniciar antibiótico de amplio espectro</w:t>
      </w:r>
    </w:p>
    <w:p w14:paraId="70056399"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orden médica e inicio oportuno de antibiótico de amplio espectro.</w:t>
      </w:r>
    </w:p>
    <w:p w14:paraId="19CAC518"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inicio de antibiótico.</w:t>
      </w:r>
    </w:p>
    <w:p w14:paraId="12F7DB6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r>
      <w:r w:rsidRPr="00B73923">
        <w:rPr>
          <w:rFonts w:ascii="Arial" w:hAnsi="Arial" w:cs="Arial"/>
          <w:lang w:val="es-CO"/>
        </w:rPr>
        <w:lastRenderedPageBreak/>
        <w:t>No aplica no es válido.</w:t>
      </w:r>
    </w:p>
    <w:p w14:paraId="49A89BF1" w14:textId="2C172692" w:rsidR="00484442" w:rsidRPr="00484442" w:rsidRDefault="00484442" w:rsidP="00923E97">
      <w:pPr>
        <w:pStyle w:val="Textoindependiente"/>
        <w:tabs>
          <w:tab w:val="left" w:pos="5580"/>
        </w:tabs>
        <w:spacing w:line="235" w:lineRule="auto"/>
        <w:ind w:left="360" w:right="103"/>
        <w:rPr>
          <w:rFonts w:ascii="Arial" w:hAnsi="Arial" w:cs="Arial"/>
          <w:b/>
          <w:bCs/>
          <w:lang w:val="es-CO"/>
        </w:rPr>
      </w:pPr>
    </w:p>
    <w:p w14:paraId="647335C1"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ordena cristaloides en bolo según respuesta clínica</w:t>
      </w:r>
    </w:p>
    <w:p w14:paraId="32E218B6"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administración de líquidos cristaloides según protocolo institucional.</w:t>
      </w:r>
    </w:p>
    <w:p w14:paraId="26DAD1AA"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administración.</w:t>
      </w:r>
    </w:p>
    <w:p w14:paraId="33AA2E8A" w14:textId="77777777" w:rsidR="00484442" w:rsidRPr="00B73923" w:rsidRDefault="00484442" w:rsidP="00923E97">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existe contraindicación clínica.</w:t>
      </w:r>
    </w:p>
    <w:p w14:paraId="468C4247" w14:textId="77777777" w:rsidR="00A55485" w:rsidRDefault="00A55485" w:rsidP="00A55485">
      <w:pPr>
        <w:pStyle w:val="Textoindependiente"/>
        <w:tabs>
          <w:tab w:val="left" w:pos="5580"/>
        </w:tabs>
        <w:spacing w:line="235" w:lineRule="auto"/>
        <w:ind w:left="0" w:right="103"/>
        <w:rPr>
          <w:rFonts w:ascii="Arial" w:hAnsi="Arial" w:cs="Arial"/>
          <w:b/>
          <w:bCs/>
          <w:lang w:val="es-CO"/>
        </w:rPr>
      </w:pPr>
    </w:p>
    <w:p w14:paraId="71D6010A" w14:textId="7BC819A1" w:rsidR="00484442" w:rsidRPr="00484442" w:rsidRDefault="00484442" w:rsidP="00A55485">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4. INTERVENCIONES</w:t>
      </w:r>
    </w:p>
    <w:p w14:paraId="39F2C396" w14:textId="0DD78353" w:rsidR="00484442" w:rsidRPr="00484442" w:rsidRDefault="00484442" w:rsidP="00A55485">
      <w:pPr>
        <w:pStyle w:val="Textoindependiente"/>
        <w:tabs>
          <w:tab w:val="left" w:pos="5580"/>
        </w:tabs>
        <w:spacing w:line="235" w:lineRule="auto"/>
        <w:ind w:left="360" w:right="103"/>
        <w:rPr>
          <w:rFonts w:ascii="Arial" w:hAnsi="Arial" w:cs="Arial"/>
          <w:b/>
          <w:bCs/>
          <w:lang w:val="es-CO"/>
        </w:rPr>
      </w:pPr>
    </w:p>
    <w:p w14:paraId="31461B26" w14:textId="77777777" w:rsidR="00484442" w:rsidRPr="00484442" w:rsidRDefault="00484442" w:rsidP="00A55485">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Vigila signos vitales durante las 4 horas posteriores a la emergencia obstétrica</w:t>
      </w:r>
    </w:p>
    <w:p w14:paraId="698C497C" w14:textId="77777777" w:rsidR="00484442" w:rsidRPr="00484442" w:rsidRDefault="00484442" w:rsidP="00A55485">
      <w:pPr>
        <w:pStyle w:val="Textoindependiente"/>
        <w:tabs>
          <w:tab w:val="left" w:pos="5580"/>
        </w:tabs>
        <w:spacing w:line="235" w:lineRule="auto"/>
        <w:ind w:left="360" w:right="103"/>
        <w:rPr>
          <w:rFonts w:ascii="Arial" w:hAnsi="Arial" w:cs="Arial"/>
          <w:b/>
          <w:bCs/>
          <w:lang w:val="es-CO"/>
        </w:rPr>
      </w:pPr>
      <w:r w:rsidRPr="00484442">
        <w:rPr>
          <w:rFonts w:ascii="Arial" w:hAnsi="Arial" w:cs="Arial"/>
          <w:b/>
          <w:bCs/>
          <w:lang w:val="es-CO"/>
        </w:rPr>
        <w:t>(Periodicidad: cada 15 minutos durante las primeras 2 horas y cada 30 minutos las siguientes 2 horas)</w:t>
      </w:r>
    </w:p>
    <w:p w14:paraId="45EBFB3B"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registro continuo de signos vitales con la periodicidad establecida durante las primeras cuatro horas posteriores a la identificación de la emergencia por sepsis.</w:t>
      </w:r>
    </w:p>
    <w:p w14:paraId="0911D077"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 de signos vitales con la periodicidad indicada.</w:t>
      </w:r>
    </w:p>
    <w:p w14:paraId="0B772A65"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75A20AE7" w14:textId="1FD5BF5A" w:rsidR="00484442" w:rsidRPr="00484442" w:rsidRDefault="00484442" w:rsidP="00A55485">
      <w:pPr>
        <w:pStyle w:val="Textoindependiente"/>
        <w:tabs>
          <w:tab w:val="left" w:pos="5580"/>
        </w:tabs>
        <w:spacing w:line="235" w:lineRule="auto"/>
        <w:ind w:left="360" w:right="103"/>
        <w:rPr>
          <w:rFonts w:ascii="Arial" w:hAnsi="Arial" w:cs="Arial"/>
          <w:b/>
          <w:bCs/>
          <w:lang w:val="es-CO"/>
        </w:rPr>
      </w:pPr>
    </w:p>
    <w:p w14:paraId="6489322F"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Evalúa saturación y ordena oxígeno suplementario para mantener saturación ≥ 95%</w:t>
      </w:r>
    </w:p>
    <w:p w14:paraId="7E570F0F"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medición de saturación de oxígeno y administración de oxígeno suplementario cuando se encuentra indicado.</w:t>
      </w:r>
    </w:p>
    <w:p w14:paraId="6CE9B86B"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medición o administración de oxígeno cuando se requiere.</w:t>
      </w:r>
    </w:p>
    <w:p w14:paraId="5D54D861"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la saturación es normal y no requiere oxígeno.</w:t>
      </w:r>
    </w:p>
    <w:p w14:paraId="1AFDF6A7" w14:textId="661A9C03" w:rsidR="00484442" w:rsidRPr="00484442" w:rsidRDefault="00484442" w:rsidP="00A55485">
      <w:pPr>
        <w:pStyle w:val="Textoindependiente"/>
        <w:tabs>
          <w:tab w:val="left" w:pos="5580"/>
        </w:tabs>
        <w:spacing w:line="235" w:lineRule="auto"/>
        <w:ind w:left="360" w:right="103"/>
        <w:rPr>
          <w:rFonts w:ascii="Arial" w:hAnsi="Arial" w:cs="Arial"/>
          <w:b/>
          <w:bCs/>
          <w:lang w:val="es-CO"/>
        </w:rPr>
      </w:pPr>
    </w:p>
    <w:p w14:paraId="1BEC3059"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Ordena protección gástrica de acuerdo con el caso</w:t>
      </w:r>
    </w:p>
    <w:p w14:paraId="4F078B57"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prescripción de protección gástrica cuando se contraindica la vía enteral o existe riesgo de lesión gástrica.</w:t>
      </w:r>
    </w:p>
    <w:p w14:paraId="6F796D9B"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prescripción estando indicada.</w:t>
      </w:r>
    </w:p>
    <w:p w14:paraId="206ECDD2" w14:textId="77777777" w:rsidR="00484442" w:rsidRPr="00B73923" w:rsidRDefault="00484442" w:rsidP="00A55485">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clínicamente no se requiere.</w:t>
      </w:r>
    </w:p>
    <w:p w14:paraId="55DAA42A" w14:textId="25E00166" w:rsidR="00484442" w:rsidRPr="00484442" w:rsidRDefault="00484442" w:rsidP="00A55485">
      <w:pPr>
        <w:pStyle w:val="Textoindependiente"/>
        <w:tabs>
          <w:tab w:val="left" w:pos="5580"/>
        </w:tabs>
        <w:spacing w:line="235" w:lineRule="auto"/>
        <w:ind w:left="360" w:right="103"/>
        <w:rPr>
          <w:rFonts w:ascii="Arial" w:hAnsi="Arial" w:cs="Arial"/>
          <w:b/>
          <w:bCs/>
          <w:lang w:val="es-CO"/>
        </w:rPr>
      </w:pPr>
    </w:p>
    <w:p w14:paraId="3FD8C5E9" w14:textId="77777777" w:rsidR="00484442" w:rsidRPr="00484442" w:rsidRDefault="00484442" w:rsidP="00A55485">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Evalúa riesgo tromboembólico</w:t>
      </w:r>
    </w:p>
    <w:p w14:paraId="7A2D4FA3"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 xml:space="preserve">Cuando la institución evidencia aplicación de escala o valoración clínica para riesgo </w:t>
      </w:r>
      <w:r w:rsidRPr="00B73923">
        <w:rPr>
          <w:rFonts w:ascii="Arial" w:hAnsi="Arial" w:cs="Arial"/>
          <w:lang w:val="es-CO"/>
        </w:rPr>
        <w:lastRenderedPageBreak/>
        <w:t>tromboembólico.</w:t>
      </w:r>
    </w:p>
    <w:p w14:paraId="375511CF"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valoración.</w:t>
      </w:r>
    </w:p>
    <w:p w14:paraId="5598F3C3"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67CC5734" w14:textId="271C498E" w:rsidR="00484442" w:rsidRPr="00484442" w:rsidRDefault="00484442" w:rsidP="002B4F41">
      <w:pPr>
        <w:pStyle w:val="Textoindependiente"/>
        <w:tabs>
          <w:tab w:val="left" w:pos="5580"/>
        </w:tabs>
        <w:spacing w:line="235" w:lineRule="auto"/>
        <w:ind w:left="360" w:right="103"/>
        <w:rPr>
          <w:rFonts w:ascii="Arial" w:hAnsi="Arial" w:cs="Arial"/>
          <w:b/>
          <w:bCs/>
          <w:lang w:val="es-CO"/>
        </w:rPr>
      </w:pPr>
    </w:p>
    <w:p w14:paraId="253A5E27" w14:textId="77777777" w:rsidR="00484442" w:rsidRPr="00484442" w:rsidRDefault="00484442" w:rsidP="002B4F41">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Coloca catéter venoso central o periférico central si se requieren vasopresores</w:t>
      </w:r>
    </w:p>
    <w:p w14:paraId="4B3AC619"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colocación de acceso venoso central o periférico central cuando se requiere administración de vasopresores.</w:t>
      </w:r>
    </w:p>
    <w:p w14:paraId="28CE954F"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colocación estando indicada.</w:t>
      </w:r>
    </w:p>
    <w:p w14:paraId="1842C494"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se requieren vasopresores.</w:t>
      </w:r>
    </w:p>
    <w:p w14:paraId="547C232D" w14:textId="54F10C0F" w:rsidR="00484442" w:rsidRPr="00484442" w:rsidRDefault="00484442" w:rsidP="002B4F41">
      <w:pPr>
        <w:pStyle w:val="Textoindependiente"/>
        <w:tabs>
          <w:tab w:val="left" w:pos="5580"/>
        </w:tabs>
        <w:spacing w:line="235" w:lineRule="auto"/>
        <w:ind w:left="360" w:right="103"/>
        <w:rPr>
          <w:rFonts w:ascii="Arial" w:hAnsi="Arial" w:cs="Arial"/>
          <w:b/>
          <w:bCs/>
          <w:lang w:val="es-CO"/>
        </w:rPr>
      </w:pPr>
    </w:p>
    <w:p w14:paraId="395E6524"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Ordena iniciar vasopresores si persiste TAM &lt; 65 mmHg</w:t>
      </w:r>
    </w:p>
    <w:p w14:paraId="755AF037"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inicio de vasopresores en pacientes con hipotensión persistente posterior a reanimación con líquidos.</w:t>
      </w:r>
    </w:p>
    <w:p w14:paraId="3CBE5B87"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inicio estando indicado.</w:t>
      </w:r>
    </w:p>
    <w:p w14:paraId="6DCA1318"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hay hipotensión persistente.</w:t>
      </w:r>
    </w:p>
    <w:p w14:paraId="7C4B83BD" w14:textId="3E688D6A" w:rsidR="00484442" w:rsidRPr="00484442" w:rsidRDefault="00484442" w:rsidP="002B4F41">
      <w:pPr>
        <w:pStyle w:val="Textoindependiente"/>
        <w:tabs>
          <w:tab w:val="left" w:pos="5580"/>
        </w:tabs>
        <w:spacing w:line="235" w:lineRule="auto"/>
        <w:ind w:left="360" w:right="103"/>
        <w:rPr>
          <w:rFonts w:ascii="Arial" w:hAnsi="Arial" w:cs="Arial"/>
          <w:b/>
          <w:bCs/>
          <w:lang w:val="es-CO"/>
        </w:rPr>
      </w:pPr>
    </w:p>
    <w:p w14:paraId="7809EBF5"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Reevalúa indicación de manejo antibiótico según reporte de cultivos</w:t>
      </w:r>
    </w:p>
    <w:p w14:paraId="2FAE116A"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ajuste o continuidad del antibiótico basado en resultados microbiológicos.</w:t>
      </w:r>
    </w:p>
    <w:p w14:paraId="43DEC947"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reevaluación del tratamiento.</w:t>
      </w:r>
    </w:p>
    <w:p w14:paraId="54DC845B" w14:textId="77777777" w:rsidR="00484442" w:rsidRPr="00B73923" w:rsidRDefault="00484442" w:rsidP="002B4F41">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se dispone aún de resultados.</w:t>
      </w:r>
    </w:p>
    <w:p w14:paraId="2ACE6F8D" w14:textId="4C05FFE9"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4C9A3B8E"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5. INFORMACIÓN</w:t>
      </w:r>
    </w:p>
    <w:p w14:paraId="53EB8D6D" w14:textId="24AE1231"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0E9D7C72"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registra información a paciente y familiares</w:t>
      </w:r>
    </w:p>
    <w:p w14:paraId="4ABBDFD4"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registro de información brindada a la paciente y familiares sobre el estado clínico, tratamiento instaurado y evolución.</w:t>
      </w:r>
    </w:p>
    <w:p w14:paraId="2486AD9F"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 de información brindada.</w:t>
      </w:r>
    </w:p>
    <w:p w14:paraId="5DBF6BED"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237947B5" w14:textId="77777777" w:rsidR="00B73923" w:rsidRDefault="00B73923" w:rsidP="00B73923">
      <w:pPr>
        <w:pStyle w:val="Textoindependiente"/>
        <w:tabs>
          <w:tab w:val="left" w:pos="5580"/>
        </w:tabs>
        <w:spacing w:line="235" w:lineRule="auto"/>
        <w:ind w:left="0" w:right="103"/>
        <w:rPr>
          <w:rFonts w:ascii="Arial" w:hAnsi="Arial" w:cs="Arial"/>
          <w:b/>
          <w:bCs/>
          <w:lang w:val="es-CO"/>
        </w:rPr>
      </w:pPr>
    </w:p>
    <w:p w14:paraId="6C8FACB6" w14:textId="474454E2"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Se registra realización de notificación a evento 549 Morbilidad Materna Extrema</w:t>
      </w:r>
    </w:p>
    <w:p w14:paraId="5EE1A46C"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r>
      <w:r w:rsidRPr="00B73923">
        <w:rPr>
          <w:rFonts w:ascii="Arial" w:hAnsi="Arial" w:cs="Arial"/>
          <w:lang w:val="es-CO"/>
        </w:rPr>
        <w:lastRenderedPageBreak/>
        <w:t>Cuando la institución evidencia registro de notificación del evento según lineamientos del Sistema de Vigilancia en Salud Pública.</w:t>
      </w:r>
    </w:p>
    <w:p w14:paraId="116DA911"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notificación.</w:t>
      </w:r>
    </w:p>
    <w:p w14:paraId="36FB9EE2"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el caso no cumple criterios de notificación.</w:t>
      </w:r>
    </w:p>
    <w:p w14:paraId="6E0B164C" w14:textId="7EC0A9EA"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3A63456A"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6. EGRESO</w:t>
      </w:r>
    </w:p>
    <w:p w14:paraId="0D6ACB41" w14:textId="40437AEE"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550424A0"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Garantiza estancia hospitalaria hasta control del proceso infeccioso</w:t>
      </w:r>
    </w:p>
    <w:p w14:paraId="1AFDE7D1"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estancia hospitalaria suficiente hasta estabilización clínica y control del proceso infeccioso.</w:t>
      </w:r>
    </w:p>
    <w:p w14:paraId="19B300AA"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control clínico previo al egreso.</w:t>
      </w:r>
    </w:p>
    <w:p w14:paraId="032D3508"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78581B04" w14:textId="77CFDF4A"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6711619D"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Indica e inicia referencia o traslado a nivel de mayor complejidad</w:t>
      </w:r>
    </w:p>
    <w:p w14:paraId="20DAA9DD"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indicación y gestión de traslado oportuno cuando la condición clínica lo requiere.</w:t>
      </w:r>
    </w:p>
    <w:p w14:paraId="7FB3575A"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referencia estando indicada.</w:t>
      </w:r>
    </w:p>
    <w:p w14:paraId="1E2B1042"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no se requiere traslado.</w:t>
      </w:r>
    </w:p>
    <w:p w14:paraId="751B717D" w14:textId="7CB60A1F" w:rsidR="00484442" w:rsidRPr="00484442" w:rsidRDefault="00484442" w:rsidP="00B73923">
      <w:pPr>
        <w:pStyle w:val="Textoindependiente"/>
        <w:tabs>
          <w:tab w:val="left" w:pos="5580"/>
        </w:tabs>
        <w:spacing w:line="235" w:lineRule="auto"/>
        <w:ind w:left="0" w:right="103"/>
        <w:rPr>
          <w:rFonts w:ascii="Arial" w:hAnsi="Arial" w:cs="Arial"/>
          <w:b/>
          <w:bCs/>
          <w:lang w:val="es-CO"/>
        </w:rPr>
      </w:pPr>
    </w:p>
    <w:p w14:paraId="38DDCD7C"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xml:space="preserve">• Registra en plan de egreso entrega efectiva de antibiótico y </w:t>
      </w:r>
      <w:proofErr w:type="spellStart"/>
      <w:r w:rsidRPr="00484442">
        <w:rPr>
          <w:rFonts w:ascii="Arial" w:hAnsi="Arial" w:cs="Arial"/>
          <w:b/>
          <w:bCs/>
          <w:lang w:val="es-CO"/>
        </w:rPr>
        <w:t>tromboprofilaxis</w:t>
      </w:r>
      <w:proofErr w:type="spellEnd"/>
    </w:p>
    <w:p w14:paraId="3020D84D"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 xml:space="preserve">Cuando la institución evidencia registro de entrega efectiva de antibiótico y </w:t>
      </w:r>
      <w:proofErr w:type="spellStart"/>
      <w:r w:rsidRPr="00B73923">
        <w:rPr>
          <w:rFonts w:ascii="Arial" w:hAnsi="Arial" w:cs="Arial"/>
          <w:lang w:val="es-CO"/>
        </w:rPr>
        <w:t>tromboprofilaxis</w:t>
      </w:r>
      <w:proofErr w:type="spellEnd"/>
      <w:r w:rsidRPr="00B73923">
        <w:rPr>
          <w:rFonts w:ascii="Arial" w:hAnsi="Arial" w:cs="Arial"/>
          <w:lang w:val="es-CO"/>
        </w:rPr>
        <w:t xml:space="preserve"> con dosis y duración indicadas.</w:t>
      </w:r>
    </w:p>
    <w:p w14:paraId="7716DC09"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 de entrega.</w:t>
      </w:r>
    </w:p>
    <w:p w14:paraId="43042BD9"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clínicamente no se requiere.</w:t>
      </w:r>
    </w:p>
    <w:p w14:paraId="1212F0F0" w14:textId="6EAF4B5C"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7BB1D723"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Asesoría y provisión de métodos anticonceptivos</w:t>
      </w:r>
    </w:p>
    <w:p w14:paraId="70976381"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asesoría y provisión de método anticonceptivo según criterios de elegibilidad.</w:t>
      </w:r>
    </w:p>
    <w:p w14:paraId="7AD14D90"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asesoría o provisión.</w:t>
      </w:r>
    </w:p>
    <w:p w14:paraId="4A997756"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la paciente rechaza el método.</w:t>
      </w:r>
    </w:p>
    <w:p w14:paraId="7C83F8FA" w14:textId="27CB6CFC"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6DF38DBF"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Registra educación en signos de alarma</w:t>
      </w:r>
    </w:p>
    <w:p w14:paraId="3391CD33"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lastRenderedPageBreak/>
        <w:t>CUMPLE:</w:t>
      </w:r>
      <w:r w:rsidRPr="00B73923">
        <w:rPr>
          <w:rFonts w:ascii="Arial" w:hAnsi="Arial" w:cs="Arial"/>
          <w:lang w:val="es-CO"/>
        </w:rPr>
        <w:br/>
        <w:t>Cuando la institución evidencia registro de educación brindada sobre signos de alarma posteriores al egreso.</w:t>
      </w:r>
    </w:p>
    <w:p w14:paraId="7B79FE42"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registro.</w:t>
      </w:r>
    </w:p>
    <w:p w14:paraId="121C16ED"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No aplica no es válido.</w:t>
      </w:r>
    </w:p>
    <w:p w14:paraId="5AA839C5" w14:textId="6AB2F72A" w:rsidR="00484442" w:rsidRPr="00484442" w:rsidRDefault="00484442" w:rsidP="00B73923">
      <w:pPr>
        <w:pStyle w:val="Textoindependiente"/>
        <w:tabs>
          <w:tab w:val="left" w:pos="5580"/>
        </w:tabs>
        <w:spacing w:line="235" w:lineRule="auto"/>
        <w:ind w:left="360" w:right="103"/>
        <w:rPr>
          <w:rFonts w:ascii="Arial" w:hAnsi="Arial" w:cs="Arial"/>
          <w:b/>
          <w:bCs/>
          <w:lang w:val="es-CO"/>
        </w:rPr>
      </w:pPr>
    </w:p>
    <w:p w14:paraId="02BD12D6" w14:textId="77777777" w:rsidR="00484442" w:rsidRPr="00484442" w:rsidRDefault="00484442" w:rsidP="00B73923">
      <w:pPr>
        <w:pStyle w:val="Textoindependiente"/>
        <w:tabs>
          <w:tab w:val="left" w:pos="5580"/>
        </w:tabs>
        <w:spacing w:line="235" w:lineRule="auto"/>
        <w:ind w:left="0" w:right="103"/>
        <w:rPr>
          <w:rFonts w:ascii="Arial" w:hAnsi="Arial" w:cs="Arial"/>
          <w:b/>
          <w:bCs/>
          <w:lang w:val="es-CO"/>
        </w:rPr>
      </w:pPr>
      <w:r w:rsidRPr="00484442">
        <w:rPr>
          <w:rFonts w:ascii="Arial" w:hAnsi="Arial" w:cs="Arial"/>
          <w:b/>
          <w:bCs/>
          <w:lang w:val="es-CO"/>
        </w:rPr>
        <w:t>• Registra agendamiento de cita posparto (3 a 5 días)</w:t>
      </w:r>
    </w:p>
    <w:p w14:paraId="2A884E2C"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CUMPLE:</w:t>
      </w:r>
      <w:r w:rsidRPr="00B73923">
        <w:rPr>
          <w:rFonts w:ascii="Arial" w:hAnsi="Arial" w:cs="Arial"/>
          <w:lang w:val="es-CO"/>
        </w:rPr>
        <w:br/>
        <w:t>Cuando la institución evidencia asignación de cita de control posparto dentro del tiempo establecido.</w:t>
      </w:r>
    </w:p>
    <w:p w14:paraId="4A2BAAD4"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CUMPLE:</w:t>
      </w:r>
      <w:r w:rsidRPr="00B73923">
        <w:rPr>
          <w:rFonts w:ascii="Arial" w:hAnsi="Arial" w:cs="Arial"/>
          <w:lang w:val="es-CO"/>
        </w:rPr>
        <w:br/>
        <w:t>Cuando la institución NO evidencia asignación de cita.</w:t>
      </w:r>
    </w:p>
    <w:p w14:paraId="08456461" w14:textId="77777777" w:rsidR="00484442" w:rsidRPr="00B73923" w:rsidRDefault="00484442" w:rsidP="00B73923">
      <w:pPr>
        <w:pStyle w:val="Textoindependiente"/>
        <w:tabs>
          <w:tab w:val="left" w:pos="5580"/>
        </w:tabs>
        <w:spacing w:line="235" w:lineRule="auto"/>
        <w:ind w:left="360" w:right="103"/>
        <w:rPr>
          <w:rFonts w:ascii="Arial" w:hAnsi="Arial" w:cs="Arial"/>
          <w:lang w:val="es-CO"/>
        </w:rPr>
      </w:pPr>
      <w:r w:rsidRPr="00B73923">
        <w:rPr>
          <w:rFonts w:ascii="Arial" w:hAnsi="Arial" w:cs="Arial"/>
          <w:lang w:val="es-CO"/>
        </w:rPr>
        <w:t>NO APLICA:</w:t>
      </w:r>
      <w:r w:rsidRPr="00B73923">
        <w:rPr>
          <w:rFonts w:ascii="Arial" w:hAnsi="Arial" w:cs="Arial"/>
          <w:lang w:val="es-CO"/>
        </w:rPr>
        <w:br/>
        <w:t>Cuando la paciente no se encuentra en puerperio.</w:t>
      </w:r>
    </w:p>
    <w:p w14:paraId="11838A73" w14:textId="77777777" w:rsidR="009217AE" w:rsidRPr="00267071" w:rsidRDefault="009217AE" w:rsidP="00B73923">
      <w:pPr>
        <w:pStyle w:val="Textoindependiente"/>
        <w:tabs>
          <w:tab w:val="left" w:pos="5580"/>
        </w:tabs>
        <w:spacing w:line="235" w:lineRule="auto"/>
        <w:ind w:left="360" w:right="103"/>
        <w:rPr>
          <w:rFonts w:ascii="Arial" w:hAnsi="Arial" w:cs="Arial"/>
          <w:b/>
          <w:bCs/>
        </w:rPr>
      </w:pPr>
    </w:p>
    <w:sectPr w:rsidR="009217AE" w:rsidRPr="0026707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5F41" w14:textId="77777777" w:rsidR="000E18CD" w:rsidRDefault="000E18CD" w:rsidP="00E73BA8">
      <w:pPr>
        <w:spacing w:after="0" w:line="240" w:lineRule="auto"/>
      </w:pPr>
      <w:r>
        <w:separator/>
      </w:r>
    </w:p>
  </w:endnote>
  <w:endnote w:type="continuationSeparator" w:id="0">
    <w:p w14:paraId="6F2F16CF" w14:textId="77777777" w:rsidR="000E18CD" w:rsidRDefault="000E18CD" w:rsidP="00E7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8C6A" w14:textId="77777777" w:rsidR="000E18CD" w:rsidRDefault="000E18CD" w:rsidP="00E73BA8">
      <w:pPr>
        <w:spacing w:after="0" w:line="240" w:lineRule="auto"/>
      </w:pPr>
      <w:r>
        <w:separator/>
      </w:r>
    </w:p>
  </w:footnote>
  <w:footnote w:type="continuationSeparator" w:id="0">
    <w:p w14:paraId="1DEB9C03" w14:textId="77777777" w:rsidR="000E18CD" w:rsidRDefault="000E18CD" w:rsidP="00E73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9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1986"/>
      <w:gridCol w:w="3101"/>
      <w:gridCol w:w="2431"/>
      <w:gridCol w:w="1275"/>
      <w:gridCol w:w="525"/>
    </w:tblGrid>
    <w:tr w:rsidR="00E73BA8" w14:paraId="63584C43" w14:textId="77777777" w:rsidTr="00E73BA8">
      <w:trPr>
        <w:trHeight w:val="1161"/>
      </w:trPr>
      <w:tc>
        <w:tcPr>
          <w:tcW w:w="1986" w:type="dxa"/>
          <w:vMerge w:val="restart"/>
        </w:tcPr>
        <w:p w14:paraId="007DE17C" w14:textId="77777777" w:rsidR="00E73BA8" w:rsidRDefault="00E73BA8" w:rsidP="005325DC">
          <w:pPr>
            <w:pStyle w:val="TableParagraph"/>
            <w:rPr>
              <w:noProof/>
            </w:rPr>
          </w:pPr>
        </w:p>
        <w:p w14:paraId="7129B337" w14:textId="113D8757" w:rsidR="00E73BA8" w:rsidRDefault="00E73BA8" w:rsidP="00E73BA8">
          <w:pPr>
            <w:pStyle w:val="TableParagraph"/>
            <w:jc w:val="center"/>
            <w:rPr>
              <w:rFonts w:ascii="Times New Roman"/>
              <w:sz w:val="18"/>
            </w:rPr>
          </w:pPr>
          <w:r>
            <w:rPr>
              <w:noProof/>
            </w:rPr>
            <w:drawing>
              <wp:inline distT="0" distB="0" distL="0" distR="0" wp14:anchorId="0C468DFA" wp14:editId="72ED4B19">
                <wp:extent cx="1003300" cy="817242"/>
                <wp:effectExtent l="0" t="0" r="6350" b="2540"/>
                <wp:docPr id="6" name="Imagen 1">
                  <a:extLst xmlns:a="http://schemas.openxmlformats.org/drawingml/2006/main">
                    <a:ext uri="{FF2B5EF4-FFF2-40B4-BE49-F238E27FC236}">
                      <a16:creationId xmlns:a16="http://schemas.microsoft.com/office/drawing/2014/main" id="{00000000-0008-0000-01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7654" cy="820789"/>
                        </a:xfrm>
                        <a:prstGeom prst="rect">
                          <a:avLst/>
                        </a:prstGeom>
                        <a:noFill/>
                      </pic:spPr>
                    </pic:pic>
                  </a:graphicData>
                </a:graphic>
              </wp:inline>
            </w:drawing>
          </w:r>
        </w:p>
      </w:tc>
      <w:tc>
        <w:tcPr>
          <w:tcW w:w="5532" w:type="dxa"/>
          <w:gridSpan w:val="2"/>
        </w:tcPr>
        <w:p w14:paraId="1BA69631" w14:textId="77777777" w:rsidR="00E73BA8" w:rsidRDefault="00E73BA8" w:rsidP="00E73BA8">
          <w:pPr>
            <w:pStyle w:val="TableParagraph"/>
            <w:spacing w:line="273" w:lineRule="auto"/>
            <w:ind w:left="445" w:right="433" w:firstLine="680"/>
            <w:jc w:val="center"/>
            <w:rPr>
              <w:sz w:val="18"/>
            </w:rPr>
          </w:pPr>
        </w:p>
        <w:p w14:paraId="57A557BD" w14:textId="058D5FF3" w:rsidR="00E73BA8" w:rsidRDefault="00E73BA8" w:rsidP="00E73BA8">
          <w:pPr>
            <w:pStyle w:val="TableParagraph"/>
            <w:spacing w:line="273" w:lineRule="auto"/>
            <w:ind w:left="445" w:right="433" w:firstLine="680"/>
            <w:jc w:val="center"/>
            <w:rPr>
              <w:sz w:val="18"/>
            </w:rPr>
          </w:pPr>
          <w:r>
            <w:rPr>
              <w:sz w:val="18"/>
            </w:rPr>
            <w:t>PROVISIÓN DE SERVICIOS DE SALUD</w:t>
          </w:r>
          <w:r>
            <w:rPr>
              <w:spacing w:val="1"/>
              <w:sz w:val="18"/>
            </w:rPr>
            <w:t xml:space="preserve"> </w:t>
          </w:r>
          <w:r>
            <w:rPr>
              <w:sz w:val="18"/>
            </w:rPr>
            <w:t>DIRECCIÓN</w:t>
          </w:r>
          <w:r>
            <w:rPr>
              <w:spacing w:val="-3"/>
              <w:sz w:val="18"/>
            </w:rPr>
            <w:t xml:space="preserve"> </w:t>
          </w:r>
          <w:r>
            <w:rPr>
              <w:sz w:val="18"/>
            </w:rPr>
            <w:t>DE</w:t>
          </w:r>
          <w:r>
            <w:rPr>
              <w:spacing w:val="-3"/>
              <w:sz w:val="18"/>
            </w:rPr>
            <w:t xml:space="preserve"> </w:t>
          </w:r>
          <w:r>
            <w:rPr>
              <w:sz w:val="18"/>
            </w:rPr>
            <w:t>PROVISIÓN</w:t>
          </w:r>
          <w:r>
            <w:rPr>
              <w:spacing w:val="-3"/>
              <w:sz w:val="18"/>
            </w:rPr>
            <w:t xml:space="preserve"> </w:t>
          </w:r>
          <w:r>
            <w:rPr>
              <w:sz w:val="18"/>
            </w:rPr>
            <w:t>DE</w:t>
          </w:r>
          <w:r>
            <w:rPr>
              <w:spacing w:val="-2"/>
              <w:sz w:val="18"/>
            </w:rPr>
            <w:t xml:space="preserve"> </w:t>
          </w:r>
          <w:r>
            <w:rPr>
              <w:sz w:val="18"/>
            </w:rPr>
            <w:t>SERVICIOS</w:t>
          </w:r>
          <w:r>
            <w:rPr>
              <w:spacing w:val="-3"/>
              <w:sz w:val="18"/>
            </w:rPr>
            <w:t xml:space="preserve"> </w:t>
          </w:r>
          <w:r>
            <w:rPr>
              <w:sz w:val="18"/>
            </w:rPr>
            <w:t>DE</w:t>
          </w:r>
          <w:r>
            <w:rPr>
              <w:spacing w:val="-3"/>
              <w:sz w:val="18"/>
            </w:rPr>
            <w:t xml:space="preserve"> </w:t>
          </w:r>
          <w:r>
            <w:rPr>
              <w:sz w:val="18"/>
            </w:rPr>
            <w:t>SALUD SISTEMA DE GESTIÓN</w:t>
          </w:r>
          <w:r>
            <w:rPr>
              <w:spacing w:val="1"/>
              <w:sz w:val="18"/>
            </w:rPr>
            <w:t xml:space="preserve"> </w:t>
          </w:r>
          <w:r>
            <w:rPr>
              <w:sz w:val="18"/>
            </w:rPr>
            <w:t>CONTROL</w:t>
          </w:r>
          <w:r>
            <w:rPr>
              <w:spacing w:val="-13"/>
              <w:sz w:val="18"/>
            </w:rPr>
            <w:t xml:space="preserve"> </w:t>
          </w:r>
          <w:r>
            <w:rPr>
              <w:sz w:val="18"/>
            </w:rPr>
            <w:t>DOCUMENTAL</w:t>
          </w:r>
        </w:p>
      </w:tc>
      <w:tc>
        <w:tcPr>
          <w:tcW w:w="1800" w:type="dxa"/>
          <w:gridSpan w:val="2"/>
          <w:vMerge w:val="restart"/>
        </w:tcPr>
        <w:p w14:paraId="6F774B7B" w14:textId="77777777" w:rsidR="00E73BA8" w:rsidRDefault="00E73BA8" w:rsidP="00E73BA8">
          <w:pPr>
            <w:pStyle w:val="TableParagraph"/>
            <w:jc w:val="center"/>
            <w:rPr>
              <w:noProof/>
            </w:rPr>
          </w:pPr>
        </w:p>
        <w:p w14:paraId="1026006A" w14:textId="1CEA9C34" w:rsidR="00E73BA8" w:rsidRDefault="00E73BA8" w:rsidP="00E73BA8">
          <w:pPr>
            <w:pStyle w:val="TableParagraph"/>
            <w:jc w:val="center"/>
            <w:rPr>
              <w:rFonts w:ascii="Times New Roman"/>
              <w:sz w:val="18"/>
            </w:rPr>
          </w:pPr>
          <w:r>
            <w:rPr>
              <w:noProof/>
            </w:rPr>
            <w:drawing>
              <wp:inline distT="0" distB="0" distL="0" distR="0" wp14:anchorId="0107B12B" wp14:editId="0E796BAE">
                <wp:extent cx="886209" cy="749300"/>
                <wp:effectExtent l="0" t="0" r="9525" b="0"/>
                <wp:docPr id="5" name="Imagen 10">
                  <a:extLst xmlns:a="http://schemas.openxmlformats.org/drawingml/2006/main">
                    <a:ext uri="{FF2B5EF4-FFF2-40B4-BE49-F238E27FC236}">
                      <a16:creationId xmlns:a16="http://schemas.microsoft.com/office/drawing/2014/main" id="{00000000-0008-0000-01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0">
                          <a:extLst>
                            <a:ext uri="{FF2B5EF4-FFF2-40B4-BE49-F238E27FC236}">
                              <a16:creationId xmlns:a16="http://schemas.microsoft.com/office/drawing/2014/main" id="{00000000-0008-0000-0100-000005000000}"/>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0211" cy="752684"/>
                        </a:xfrm>
                        <a:prstGeom prst="rect">
                          <a:avLst/>
                        </a:prstGeom>
                        <a:noFill/>
                      </pic:spPr>
                    </pic:pic>
                  </a:graphicData>
                </a:graphic>
              </wp:inline>
            </w:drawing>
          </w:r>
        </w:p>
        <w:p w14:paraId="7D23D967" w14:textId="3D2CF6E0" w:rsidR="00E73BA8" w:rsidRDefault="00E73BA8" w:rsidP="00E73BA8">
          <w:pPr>
            <w:pStyle w:val="TableParagraph"/>
            <w:jc w:val="center"/>
            <w:rPr>
              <w:rFonts w:ascii="Times New Roman"/>
              <w:sz w:val="18"/>
            </w:rPr>
          </w:pPr>
        </w:p>
      </w:tc>
    </w:tr>
    <w:tr w:rsidR="00E73BA8" w14:paraId="0AE9C02F" w14:textId="77777777" w:rsidTr="00E73BA8">
      <w:tblPrEx>
        <w:tblCellMar>
          <w:left w:w="0" w:type="dxa"/>
          <w:right w:w="0" w:type="dxa"/>
        </w:tblCellMar>
      </w:tblPrEx>
      <w:trPr>
        <w:trHeight w:val="711"/>
      </w:trPr>
      <w:tc>
        <w:tcPr>
          <w:tcW w:w="1986" w:type="dxa"/>
          <w:vMerge/>
          <w:tcBorders>
            <w:top w:val="nil"/>
          </w:tcBorders>
        </w:tcPr>
        <w:p w14:paraId="4D728C51" w14:textId="77777777" w:rsidR="00E73BA8" w:rsidRPr="00E73BA8" w:rsidRDefault="00E73BA8" w:rsidP="00E73BA8">
          <w:pPr>
            <w:rPr>
              <w:sz w:val="2"/>
              <w:szCs w:val="2"/>
              <w:lang w:val="es-CO"/>
            </w:rPr>
          </w:pPr>
        </w:p>
      </w:tc>
      <w:tc>
        <w:tcPr>
          <w:tcW w:w="5532" w:type="dxa"/>
          <w:gridSpan w:val="2"/>
        </w:tcPr>
        <w:p w14:paraId="7E3E2946" w14:textId="38C0E7C7" w:rsidR="00E73BA8" w:rsidRDefault="00963165" w:rsidP="00EA181D">
          <w:pPr>
            <w:pStyle w:val="TableParagraph"/>
            <w:spacing w:line="268" w:lineRule="auto"/>
            <w:ind w:left="120" w:right="108" w:hanging="2"/>
            <w:jc w:val="center"/>
            <w:rPr>
              <w:sz w:val="18"/>
            </w:rPr>
          </w:pPr>
          <w:r w:rsidRPr="00963165">
            <w:rPr>
              <w:sz w:val="18"/>
            </w:rPr>
            <w:t>INSTRUMENTO DE ADHERENCIA A LA GUÍA DE PRÁCTICA CLÍNICA (GPC) COMPLICACIONES DEL EMBARAZO, PARTO O PUERPERIO EN EL EVENTO DE SEPSIS DE ORIGEN OBSTÉTRICO</w:t>
          </w:r>
        </w:p>
      </w:tc>
      <w:tc>
        <w:tcPr>
          <w:tcW w:w="1800" w:type="dxa"/>
          <w:gridSpan w:val="2"/>
          <w:vMerge/>
          <w:tcBorders>
            <w:top w:val="nil"/>
          </w:tcBorders>
        </w:tcPr>
        <w:p w14:paraId="31C26D59" w14:textId="77777777" w:rsidR="00E73BA8" w:rsidRPr="00E73BA8" w:rsidRDefault="00E73BA8" w:rsidP="00E73BA8">
          <w:pPr>
            <w:rPr>
              <w:sz w:val="2"/>
              <w:szCs w:val="2"/>
              <w:lang w:val="es-CO"/>
            </w:rPr>
          </w:pPr>
        </w:p>
      </w:tc>
    </w:tr>
    <w:tr w:rsidR="00E73BA8" w14:paraId="123D5B03" w14:textId="77777777" w:rsidTr="00E73BA8">
      <w:tblPrEx>
        <w:tblCellMar>
          <w:left w:w="0" w:type="dxa"/>
          <w:right w:w="0" w:type="dxa"/>
        </w:tblCellMar>
      </w:tblPrEx>
      <w:trPr>
        <w:trHeight w:val="300"/>
      </w:trPr>
      <w:tc>
        <w:tcPr>
          <w:tcW w:w="1986" w:type="dxa"/>
          <w:vMerge/>
          <w:tcBorders>
            <w:top w:val="nil"/>
          </w:tcBorders>
        </w:tcPr>
        <w:p w14:paraId="447E7E2D" w14:textId="77777777" w:rsidR="00E73BA8" w:rsidRPr="00E73BA8" w:rsidRDefault="00E73BA8" w:rsidP="00E73BA8">
          <w:pPr>
            <w:rPr>
              <w:sz w:val="2"/>
              <w:szCs w:val="2"/>
              <w:lang w:val="es-CO"/>
            </w:rPr>
          </w:pPr>
        </w:p>
      </w:tc>
      <w:tc>
        <w:tcPr>
          <w:tcW w:w="3101" w:type="dxa"/>
        </w:tcPr>
        <w:p w14:paraId="43BB598B" w14:textId="77777777" w:rsidR="00E73BA8" w:rsidRDefault="00E73BA8" w:rsidP="00E73BA8">
          <w:pPr>
            <w:pStyle w:val="TableParagraph"/>
            <w:spacing w:line="203" w:lineRule="exact"/>
            <w:ind w:left="1220" w:right="1210"/>
            <w:jc w:val="center"/>
            <w:rPr>
              <w:sz w:val="18"/>
            </w:rPr>
          </w:pPr>
          <w:r>
            <w:rPr>
              <w:sz w:val="18"/>
            </w:rPr>
            <w:t>Código:</w:t>
          </w:r>
        </w:p>
      </w:tc>
      <w:tc>
        <w:tcPr>
          <w:tcW w:w="2431" w:type="dxa"/>
        </w:tcPr>
        <w:p w14:paraId="0566F122" w14:textId="38970498" w:rsidR="00E73BA8" w:rsidRDefault="004F7192" w:rsidP="00E73BA8">
          <w:pPr>
            <w:pStyle w:val="TableParagraph"/>
            <w:spacing w:line="203" w:lineRule="exact"/>
            <w:ind w:left="500"/>
            <w:rPr>
              <w:sz w:val="18"/>
            </w:rPr>
          </w:pPr>
          <w:r w:rsidRPr="004F7192">
            <w:rPr>
              <w:sz w:val="18"/>
            </w:rPr>
            <w:t>SDS-PSS-FT-578</w:t>
          </w:r>
          <w:r w:rsidR="00CA02C3">
            <w:rPr>
              <w:sz w:val="18"/>
            </w:rPr>
            <w:t xml:space="preserve"> V ACTUA</w:t>
          </w:r>
        </w:p>
      </w:tc>
      <w:tc>
        <w:tcPr>
          <w:tcW w:w="1275" w:type="dxa"/>
        </w:tcPr>
        <w:p w14:paraId="593D4B57" w14:textId="77777777" w:rsidR="00E73BA8" w:rsidRDefault="00E73BA8" w:rsidP="00E73BA8">
          <w:pPr>
            <w:pStyle w:val="TableParagraph"/>
            <w:spacing w:line="203" w:lineRule="exact"/>
            <w:ind w:left="309"/>
            <w:rPr>
              <w:sz w:val="18"/>
            </w:rPr>
          </w:pPr>
          <w:r>
            <w:rPr>
              <w:sz w:val="18"/>
            </w:rPr>
            <w:t>Versión:</w:t>
          </w:r>
        </w:p>
      </w:tc>
      <w:tc>
        <w:tcPr>
          <w:tcW w:w="525" w:type="dxa"/>
        </w:tcPr>
        <w:p w14:paraId="1F8025F8" w14:textId="00FC5637" w:rsidR="00E73BA8" w:rsidRDefault="005325DC" w:rsidP="00E73BA8">
          <w:pPr>
            <w:pStyle w:val="TableParagraph"/>
            <w:spacing w:line="203" w:lineRule="exact"/>
            <w:ind w:left="16"/>
            <w:jc w:val="center"/>
            <w:rPr>
              <w:sz w:val="18"/>
            </w:rPr>
          </w:pPr>
          <w:r>
            <w:rPr>
              <w:w w:val="99"/>
              <w:sz w:val="18"/>
            </w:rPr>
            <w:t>2</w:t>
          </w:r>
        </w:p>
      </w:tc>
    </w:tr>
    <w:tr w:rsidR="00E73BA8" w14:paraId="5493D61C" w14:textId="77777777" w:rsidTr="00E73BA8">
      <w:tblPrEx>
        <w:tblCellMar>
          <w:left w:w="0" w:type="dxa"/>
          <w:right w:w="0" w:type="dxa"/>
        </w:tblCellMar>
      </w:tblPrEx>
      <w:trPr>
        <w:trHeight w:val="415"/>
      </w:trPr>
      <w:tc>
        <w:tcPr>
          <w:tcW w:w="9318" w:type="dxa"/>
          <w:gridSpan w:val="5"/>
        </w:tcPr>
        <w:p w14:paraId="658FB15B" w14:textId="095206FA" w:rsidR="00E73BA8" w:rsidRDefault="004F7192" w:rsidP="00DD141B">
          <w:pPr>
            <w:pStyle w:val="TableParagraph"/>
            <w:spacing w:before="21"/>
            <w:ind w:left="110"/>
            <w:rPr>
              <w:sz w:val="16"/>
            </w:rPr>
          </w:pPr>
          <w:r w:rsidRPr="004F7192">
            <w:rPr>
              <w:sz w:val="16"/>
            </w:rPr>
            <w:t>Elaborado por: Dayan Mateus Mendoza /Revisado por: Andrea Villamizar Monroy, Sandra Charry, Tamara Vanin Nieto  / Aprobado por: Fernando Aníbal Peña</w:t>
          </w:r>
        </w:p>
      </w:tc>
    </w:tr>
  </w:tbl>
  <w:p w14:paraId="14B2723B" w14:textId="77777777" w:rsidR="00E73BA8" w:rsidRDefault="00E73B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23C7"/>
    <w:multiLevelType w:val="multilevel"/>
    <w:tmpl w:val="7DC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A4B9A"/>
    <w:multiLevelType w:val="hybridMultilevel"/>
    <w:tmpl w:val="92125B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C585C"/>
    <w:multiLevelType w:val="multilevel"/>
    <w:tmpl w:val="1F3E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63759"/>
    <w:multiLevelType w:val="multilevel"/>
    <w:tmpl w:val="281A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459CB"/>
    <w:multiLevelType w:val="hybridMultilevel"/>
    <w:tmpl w:val="60E802D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35E2B2C"/>
    <w:multiLevelType w:val="multilevel"/>
    <w:tmpl w:val="00E0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405157"/>
    <w:multiLevelType w:val="multilevel"/>
    <w:tmpl w:val="88DA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2279D"/>
    <w:multiLevelType w:val="hybridMultilevel"/>
    <w:tmpl w:val="20EA07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B518D2"/>
    <w:multiLevelType w:val="hybridMultilevel"/>
    <w:tmpl w:val="B0E829B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23675A64"/>
    <w:multiLevelType w:val="multilevel"/>
    <w:tmpl w:val="EF82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134253"/>
    <w:multiLevelType w:val="multilevel"/>
    <w:tmpl w:val="4866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83620A"/>
    <w:multiLevelType w:val="multilevel"/>
    <w:tmpl w:val="A7BC8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971514"/>
    <w:multiLevelType w:val="multilevel"/>
    <w:tmpl w:val="A12C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516B4"/>
    <w:multiLevelType w:val="hybridMultilevel"/>
    <w:tmpl w:val="72685B4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4178652F"/>
    <w:multiLevelType w:val="hybridMultilevel"/>
    <w:tmpl w:val="24425ED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3D44D7A"/>
    <w:multiLevelType w:val="hybridMultilevel"/>
    <w:tmpl w:val="7FE87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4BF2315"/>
    <w:multiLevelType w:val="multilevel"/>
    <w:tmpl w:val="099AC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D3374B"/>
    <w:multiLevelType w:val="multilevel"/>
    <w:tmpl w:val="CC30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E2A14"/>
    <w:multiLevelType w:val="multilevel"/>
    <w:tmpl w:val="1504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8F6CB0"/>
    <w:multiLevelType w:val="multilevel"/>
    <w:tmpl w:val="D8B8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D60E79"/>
    <w:multiLevelType w:val="multilevel"/>
    <w:tmpl w:val="B086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D82646"/>
    <w:multiLevelType w:val="hybridMultilevel"/>
    <w:tmpl w:val="FF9820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36114F"/>
    <w:multiLevelType w:val="multilevel"/>
    <w:tmpl w:val="6F58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A13AFD"/>
    <w:multiLevelType w:val="multilevel"/>
    <w:tmpl w:val="88B06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670D43"/>
    <w:multiLevelType w:val="multilevel"/>
    <w:tmpl w:val="0B727C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56691F"/>
    <w:multiLevelType w:val="multilevel"/>
    <w:tmpl w:val="112A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7556A0"/>
    <w:multiLevelType w:val="multilevel"/>
    <w:tmpl w:val="0BD6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636B2E"/>
    <w:multiLevelType w:val="multilevel"/>
    <w:tmpl w:val="41AE0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D80753"/>
    <w:multiLevelType w:val="multilevel"/>
    <w:tmpl w:val="5E869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F41727"/>
    <w:multiLevelType w:val="multilevel"/>
    <w:tmpl w:val="AB86A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423918"/>
    <w:multiLevelType w:val="multilevel"/>
    <w:tmpl w:val="15407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167FF"/>
    <w:multiLevelType w:val="multilevel"/>
    <w:tmpl w:val="CAE6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5F0334"/>
    <w:multiLevelType w:val="multilevel"/>
    <w:tmpl w:val="3CB43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64205D"/>
    <w:multiLevelType w:val="hybridMultilevel"/>
    <w:tmpl w:val="6A7A6C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E8C0C0A"/>
    <w:multiLevelType w:val="multilevel"/>
    <w:tmpl w:val="F9B4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3503847">
    <w:abstractNumId w:val="7"/>
  </w:num>
  <w:num w:numId="2" w16cid:durableId="352922014">
    <w:abstractNumId w:val="15"/>
  </w:num>
  <w:num w:numId="3" w16cid:durableId="1725567215">
    <w:abstractNumId w:val="26"/>
  </w:num>
  <w:num w:numId="4" w16cid:durableId="732896438">
    <w:abstractNumId w:val="18"/>
  </w:num>
  <w:num w:numId="5" w16cid:durableId="709383821">
    <w:abstractNumId w:val="24"/>
  </w:num>
  <w:num w:numId="6" w16cid:durableId="2085296004">
    <w:abstractNumId w:val="1"/>
  </w:num>
  <w:num w:numId="7" w16cid:durableId="17968347">
    <w:abstractNumId w:val="34"/>
  </w:num>
  <w:num w:numId="8" w16cid:durableId="306861769">
    <w:abstractNumId w:val="31"/>
  </w:num>
  <w:num w:numId="9" w16cid:durableId="1116413184">
    <w:abstractNumId w:val="14"/>
  </w:num>
  <w:num w:numId="10" w16cid:durableId="1516531989">
    <w:abstractNumId w:val="6"/>
  </w:num>
  <w:num w:numId="11" w16cid:durableId="1460874800">
    <w:abstractNumId w:val="29"/>
  </w:num>
  <w:num w:numId="12" w16cid:durableId="411708666">
    <w:abstractNumId w:val="12"/>
  </w:num>
  <w:num w:numId="13" w16cid:durableId="2048096332">
    <w:abstractNumId w:val="21"/>
  </w:num>
  <w:num w:numId="14" w16cid:durableId="1891650210">
    <w:abstractNumId w:val="33"/>
  </w:num>
  <w:num w:numId="15" w16cid:durableId="1607616170">
    <w:abstractNumId w:val="22"/>
  </w:num>
  <w:num w:numId="16" w16cid:durableId="233466723">
    <w:abstractNumId w:val="10"/>
  </w:num>
  <w:num w:numId="17" w16cid:durableId="1645767496">
    <w:abstractNumId w:val="28"/>
  </w:num>
  <w:num w:numId="18" w16cid:durableId="252321238">
    <w:abstractNumId w:val="0"/>
  </w:num>
  <w:num w:numId="19" w16cid:durableId="476917777">
    <w:abstractNumId w:val="23"/>
  </w:num>
  <w:num w:numId="20" w16cid:durableId="1772777622">
    <w:abstractNumId w:val="11"/>
  </w:num>
  <w:num w:numId="21" w16cid:durableId="1788968183">
    <w:abstractNumId w:val="3"/>
  </w:num>
  <w:num w:numId="22" w16cid:durableId="610861761">
    <w:abstractNumId w:val="20"/>
  </w:num>
  <w:num w:numId="23" w16cid:durableId="1971664545">
    <w:abstractNumId w:val="25"/>
  </w:num>
  <w:num w:numId="24" w16cid:durableId="608897400">
    <w:abstractNumId w:val="30"/>
  </w:num>
  <w:num w:numId="25" w16cid:durableId="1956253478">
    <w:abstractNumId w:val="32"/>
  </w:num>
  <w:num w:numId="26" w16cid:durableId="1531263786">
    <w:abstractNumId w:val="19"/>
  </w:num>
  <w:num w:numId="27" w16cid:durableId="394622429">
    <w:abstractNumId w:val="2"/>
  </w:num>
  <w:num w:numId="28" w16cid:durableId="1898584674">
    <w:abstractNumId w:val="27"/>
  </w:num>
  <w:num w:numId="29" w16cid:durableId="4401381">
    <w:abstractNumId w:val="17"/>
  </w:num>
  <w:num w:numId="30" w16cid:durableId="1180434852">
    <w:abstractNumId w:val="5"/>
  </w:num>
  <w:num w:numId="31" w16cid:durableId="319693864">
    <w:abstractNumId w:val="9"/>
  </w:num>
  <w:num w:numId="32" w16cid:durableId="989554387">
    <w:abstractNumId w:val="16"/>
  </w:num>
  <w:num w:numId="33" w16cid:durableId="1751462298">
    <w:abstractNumId w:val="4"/>
  </w:num>
  <w:num w:numId="34" w16cid:durableId="524170487">
    <w:abstractNumId w:val="8"/>
  </w:num>
  <w:num w:numId="35" w16cid:durableId="17012042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A8"/>
    <w:rsid w:val="000411F4"/>
    <w:rsid w:val="00071516"/>
    <w:rsid w:val="00092E81"/>
    <w:rsid w:val="000B1C60"/>
    <w:rsid w:val="000B5576"/>
    <w:rsid w:val="000E18CD"/>
    <w:rsid w:val="001011D8"/>
    <w:rsid w:val="001015E8"/>
    <w:rsid w:val="00111A62"/>
    <w:rsid w:val="00166B28"/>
    <w:rsid w:val="00170782"/>
    <w:rsid w:val="00183F73"/>
    <w:rsid w:val="0018751F"/>
    <w:rsid w:val="001876D7"/>
    <w:rsid w:val="001E4939"/>
    <w:rsid w:val="001F3850"/>
    <w:rsid w:val="001F5775"/>
    <w:rsid w:val="0020376B"/>
    <w:rsid w:val="00210966"/>
    <w:rsid w:val="00216F30"/>
    <w:rsid w:val="002229B8"/>
    <w:rsid w:val="00254B2E"/>
    <w:rsid w:val="00267071"/>
    <w:rsid w:val="002810C0"/>
    <w:rsid w:val="0029217E"/>
    <w:rsid w:val="002B4F41"/>
    <w:rsid w:val="003039F1"/>
    <w:rsid w:val="00336375"/>
    <w:rsid w:val="00363BB5"/>
    <w:rsid w:val="003A65E2"/>
    <w:rsid w:val="003B4D81"/>
    <w:rsid w:val="003D5779"/>
    <w:rsid w:val="003F138F"/>
    <w:rsid w:val="00426ADC"/>
    <w:rsid w:val="004535C4"/>
    <w:rsid w:val="00465E1F"/>
    <w:rsid w:val="0047157C"/>
    <w:rsid w:val="00484442"/>
    <w:rsid w:val="004A708E"/>
    <w:rsid w:val="004F41B4"/>
    <w:rsid w:val="004F5A22"/>
    <w:rsid w:val="004F7192"/>
    <w:rsid w:val="005325DC"/>
    <w:rsid w:val="00546E9A"/>
    <w:rsid w:val="0058387F"/>
    <w:rsid w:val="00587EFF"/>
    <w:rsid w:val="005A0784"/>
    <w:rsid w:val="005A5F5D"/>
    <w:rsid w:val="005A7B97"/>
    <w:rsid w:val="005D189A"/>
    <w:rsid w:val="005E0497"/>
    <w:rsid w:val="005E4881"/>
    <w:rsid w:val="005E6C01"/>
    <w:rsid w:val="005F24CC"/>
    <w:rsid w:val="005F4F80"/>
    <w:rsid w:val="00605D0A"/>
    <w:rsid w:val="00626018"/>
    <w:rsid w:val="00641F72"/>
    <w:rsid w:val="00662B29"/>
    <w:rsid w:val="006A61BB"/>
    <w:rsid w:val="006D7E5D"/>
    <w:rsid w:val="00703A0C"/>
    <w:rsid w:val="00720017"/>
    <w:rsid w:val="007527E8"/>
    <w:rsid w:val="00753219"/>
    <w:rsid w:val="00795CC9"/>
    <w:rsid w:val="007A0236"/>
    <w:rsid w:val="007C7D53"/>
    <w:rsid w:val="007D4E59"/>
    <w:rsid w:val="007E58AB"/>
    <w:rsid w:val="007F5E80"/>
    <w:rsid w:val="00803D83"/>
    <w:rsid w:val="008139B6"/>
    <w:rsid w:val="00816EF6"/>
    <w:rsid w:val="00845205"/>
    <w:rsid w:val="00851161"/>
    <w:rsid w:val="00862AAD"/>
    <w:rsid w:val="008644C4"/>
    <w:rsid w:val="00865B8E"/>
    <w:rsid w:val="00881913"/>
    <w:rsid w:val="00883D11"/>
    <w:rsid w:val="008B7D7F"/>
    <w:rsid w:val="008D7865"/>
    <w:rsid w:val="008E06FF"/>
    <w:rsid w:val="008E70B9"/>
    <w:rsid w:val="00906727"/>
    <w:rsid w:val="009119A6"/>
    <w:rsid w:val="009217AE"/>
    <w:rsid w:val="00923E97"/>
    <w:rsid w:val="0092466F"/>
    <w:rsid w:val="00950FB6"/>
    <w:rsid w:val="00963165"/>
    <w:rsid w:val="00973539"/>
    <w:rsid w:val="009A0B45"/>
    <w:rsid w:val="009A4285"/>
    <w:rsid w:val="009B69F7"/>
    <w:rsid w:val="00A072FC"/>
    <w:rsid w:val="00A10621"/>
    <w:rsid w:val="00A15D9E"/>
    <w:rsid w:val="00A16C3B"/>
    <w:rsid w:val="00A25969"/>
    <w:rsid w:val="00A30E2C"/>
    <w:rsid w:val="00A55485"/>
    <w:rsid w:val="00A73316"/>
    <w:rsid w:val="00A820A2"/>
    <w:rsid w:val="00A8638F"/>
    <w:rsid w:val="00A86CE7"/>
    <w:rsid w:val="00A8771B"/>
    <w:rsid w:val="00AE13AC"/>
    <w:rsid w:val="00AF0DC6"/>
    <w:rsid w:val="00B16305"/>
    <w:rsid w:val="00B45824"/>
    <w:rsid w:val="00B73923"/>
    <w:rsid w:val="00B87DF7"/>
    <w:rsid w:val="00B93D9A"/>
    <w:rsid w:val="00BA58D2"/>
    <w:rsid w:val="00BE47ED"/>
    <w:rsid w:val="00C20DD4"/>
    <w:rsid w:val="00C25C57"/>
    <w:rsid w:val="00C31439"/>
    <w:rsid w:val="00C37964"/>
    <w:rsid w:val="00C574B8"/>
    <w:rsid w:val="00C71323"/>
    <w:rsid w:val="00C73483"/>
    <w:rsid w:val="00CA02C3"/>
    <w:rsid w:val="00CA22C4"/>
    <w:rsid w:val="00D30D27"/>
    <w:rsid w:val="00D62DEC"/>
    <w:rsid w:val="00D71D04"/>
    <w:rsid w:val="00D85DD1"/>
    <w:rsid w:val="00DA186B"/>
    <w:rsid w:val="00DD141B"/>
    <w:rsid w:val="00E338CF"/>
    <w:rsid w:val="00E33F5E"/>
    <w:rsid w:val="00E44D0E"/>
    <w:rsid w:val="00E454A8"/>
    <w:rsid w:val="00E5791F"/>
    <w:rsid w:val="00E60EE4"/>
    <w:rsid w:val="00E64C71"/>
    <w:rsid w:val="00E73BA8"/>
    <w:rsid w:val="00EA181D"/>
    <w:rsid w:val="00EA7D61"/>
    <w:rsid w:val="00EB778D"/>
    <w:rsid w:val="00EC1000"/>
    <w:rsid w:val="00FB3112"/>
    <w:rsid w:val="00FC5FE6"/>
    <w:rsid w:val="00FD433D"/>
    <w:rsid w:val="00FF00F2"/>
    <w:rsid w:val="00FF3D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082BA"/>
  <w15:chartTrackingRefBased/>
  <w15:docId w15:val="{7368FA60-B78F-4869-8702-D44E7E88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782"/>
  </w:style>
  <w:style w:type="paragraph" w:styleId="Ttulo1">
    <w:name w:val="heading 1"/>
    <w:basedOn w:val="Normal"/>
    <w:next w:val="Normal"/>
    <w:link w:val="Ttulo1Car"/>
    <w:uiPriority w:val="9"/>
    <w:qFormat/>
    <w:rsid w:val="00E73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73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73B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73B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73B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73B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3B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3B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3B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3B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73B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73B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73B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73B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73B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3B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3B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3BA8"/>
    <w:rPr>
      <w:rFonts w:eastAsiaTheme="majorEastAsia" w:cstheme="majorBidi"/>
      <w:color w:val="272727" w:themeColor="text1" w:themeTint="D8"/>
    </w:rPr>
  </w:style>
  <w:style w:type="paragraph" w:styleId="Ttulo">
    <w:name w:val="Title"/>
    <w:basedOn w:val="Normal"/>
    <w:next w:val="Normal"/>
    <w:link w:val="TtuloCar"/>
    <w:uiPriority w:val="10"/>
    <w:qFormat/>
    <w:rsid w:val="00E73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73B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3B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73B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3BA8"/>
    <w:pPr>
      <w:spacing w:before="160"/>
      <w:jc w:val="center"/>
    </w:pPr>
    <w:rPr>
      <w:i/>
      <w:iCs/>
      <w:color w:val="404040" w:themeColor="text1" w:themeTint="BF"/>
    </w:rPr>
  </w:style>
  <w:style w:type="character" w:customStyle="1" w:styleId="CitaCar">
    <w:name w:val="Cita Car"/>
    <w:basedOn w:val="Fuentedeprrafopredeter"/>
    <w:link w:val="Cita"/>
    <w:uiPriority w:val="29"/>
    <w:rsid w:val="00E73BA8"/>
    <w:rPr>
      <w:i/>
      <w:iCs/>
      <w:color w:val="404040" w:themeColor="text1" w:themeTint="BF"/>
    </w:rPr>
  </w:style>
  <w:style w:type="paragraph" w:styleId="Prrafodelista">
    <w:name w:val="List Paragraph"/>
    <w:basedOn w:val="Normal"/>
    <w:uiPriority w:val="34"/>
    <w:qFormat/>
    <w:rsid w:val="00E73BA8"/>
    <w:pPr>
      <w:ind w:left="720"/>
      <w:contextualSpacing/>
    </w:pPr>
  </w:style>
  <w:style w:type="character" w:styleId="nfasisintenso">
    <w:name w:val="Intense Emphasis"/>
    <w:basedOn w:val="Fuentedeprrafopredeter"/>
    <w:uiPriority w:val="21"/>
    <w:qFormat/>
    <w:rsid w:val="00E73BA8"/>
    <w:rPr>
      <w:i/>
      <w:iCs/>
      <w:color w:val="0F4761" w:themeColor="accent1" w:themeShade="BF"/>
    </w:rPr>
  </w:style>
  <w:style w:type="paragraph" w:styleId="Citadestacada">
    <w:name w:val="Intense Quote"/>
    <w:basedOn w:val="Normal"/>
    <w:next w:val="Normal"/>
    <w:link w:val="CitadestacadaCar"/>
    <w:uiPriority w:val="30"/>
    <w:qFormat/>
    <w:rsid w:val="00E73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73BA8"/>
    <w:rPr>
      <w:i/>
      <w:iCs/>
      <w:color w:val="0F4761" w:themeColor="accent1" w:themeShade="BF"/>
    </w:rPr>
  </w:style>
  <w:style w:type="character" w:styleId="Referenciaintensa">
    <w:name w:val="Intense Reference"/>
    <w:basedOn w:val="Fuentedeprrafopredeter"/>
    <w:uiPriority w:val="32"/>
    <w:qFormat/>
    <w:rsid w:val="00E73BA8"/>
    <w:rPr>
      <w:b/>
      <w:bCs/>
      <w:smallCaps/>
      <w:color w:val="0F4761" w:themeColor="accent1" w:themeShade="BF"/>
      <w:spacing w:val="5"/>
    </w:rPr>
  </w:style>
  <w:style w:type="paragraph" w:styleId="Encabezado">
    <w:name w:val="header"/>
    <w:basedOn w:val="Normal"/>
    <w:link w:val="EncabezadoCar"/>
    <w:uiPriority w:val="99"/>
    <w:unhideWhenUsed/>
    <w:rsid w:val="00E73B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3BA8"/>
  </w:style>
  <w:style w:type="paragraph" w:styleId="Piedepgina">
    <w:name w:val="footer"/>
    <w:basedOn w:val="Normal"/>
    <w:link w:val="PiedepginaCar"/>
    <w:uiPriority w:val="99"/>
    <w:unhideWhenUsed/>
    <w:rsid w:val="00E73B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3BA8"/>
  </w:style>
  <w:style w:type="table" w:customStyle="1" w:styleId="TableNormal">
    <w:name w:val="Table Normal"/>
    <w:uiPriority w:val="2"/>
    <w:semiHidden/>
    <w:unhideWhenUsed/>
    <w:qFormat/>
    <w:rsid w:val="00E73BA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73BA8"/>
    <w:pPr>
      <w:widowControl w:val="0"/>
      <w:autoSpaceDE w:val="0"/>
      <w:autoSpaceDN w:val="0"/>
      <w:spacing w:after="0" w:line="240" w:lineRule="auto"/>
    </w:pPr>
    <w:rPr>
      <w:rFonts w:ascii="Arial MT" w:eastAsia="Arial MT" w:hAnsi="Arial MT" w:cs="Arial MT"/>
      <w:kern w:val="0"/>
      <w:lang w:val="es-ES"/>
      <w14:ligatures w14:val="none"/>
    </w:rPr>
  </w:style>
  <w:style w:type="paragraph" w:styleId="Textoindependiente">
    <w:name w:val="Body Text"/>
    <w:basedOn w:val="Normal"/>
    <w:link w:val="TextoindependienteCar"/>
    <w:uiPriority w:val="1"/>
    <w:qFormat/>
    <w:rsid w:val="00E73BA8"/>
    <w:pPr>
      <w:widowControl w:val="0"/>
      <w:autoSpaceDE w:val="0"/>
      <w:autoSpaceDN w:val="0"/>
      <w:spacing w:after="0" w:line="240" w:lineRule="auto"/>
      <w:ind w:left="820"/>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E73BA8"/>
    <w:rPr>
      <w:rFonts w:ascii="Arial MT" w:eastAsia="Arial MT" w:hAnsi="Arial MT" w:cs="Arial MT"/>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26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1808</Words>
  <Characters>9949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Yessica, Castrillon Garcia</dc:creator>
  <cp:keywords/>
  <dc:description/>
  <cp:lastModifiedBy>Diana Carolina, Martinez Campos</cp:lastModifiedBy>
  <cp:revision>3</cp:revision>
  <dcterms:created xsi:type="dcterms:W3CDTF">2026-04-27T03:19:00Z</dcterms:created>
  <dcterms:modified xsi:type="dcterms:W3CDTF">2026-04-27T03:19:00Z</dcterms:modified>
</cp:coreProperties>
</file>